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00B4C8" w14:textId="36429DD4" w:rsidR="009275A9" w:rsidRDefault="009275A9" w:rsidP="009275A9">
      <w:pPr>
        <w:pStyle w:val="Heading2"/>
        <w:jc w:val="center"/>
        <w:rPr>
          <w:lang w:val="en-AU"/>
        </w:rPr>
      </w:pPr>
      <w:r>
        <w:rPr>
          <w:lang w:val="en-AU"/>
        </w:rPr>
        <w:t>What is the maximum size of an IOM vang?</w:t>
      </w:r>
    </w:p>
    <w:p w14:paraId="7ED90F43" w14:textId="385DF159" w:rsidR="008840FC" w:rsidRDefault="003773D2" w:rsidP="003773D2">
      <w:pPr>
        <w:pStyle w:val="Heading2"/>
        <w:rPr>
          <w:lang w:val="en-AU"/>
        </w:rPr>
      </w:pPr>
      <w:r>
        <w:rPr>
          <w:lang w:val="en-AU"/>
        </w:rPr>
        <w:t>Background</w:t>
      </w:r>
    </w:p>
    <w:p w14:paraId="5E0CE19F" w14:textId="6BA7DD75" w:rsidR="003773D2" w:rsidRDefault="003773D2" w:rsidP="003773D2">
      <w:pPr>
        <w:rPr>
          <w:lang w:val="en-AU"/>
        </w:rPr>
      </w:pPr>
      <w:r>
        <w:rPr>
          <w:lang w:val="en-AU"/>
        </w:rPr>
        <w:t>Over the last few years there has been considerable discussion about the IOM Class Rules governing the size of a vang (nee kicking strap).  Motions proposing changes to the IOM Class Rules 2022 have been put to the World Council and, under the previous MOU, to IRSA, for approval.  Only one – a change not impacting vang size – has been adopted.</w:t>
      </w:r>
    </w:p>
    <w:p w14:paraId="2F386D00" w14:textId="77777777" w:rsidR="003773D2" w:rsidRDefault="003773D2" w:rsidP="003773D2">
      <w:pPr>
        <w:rPr>
          <w:lang w:val="en-AU"/>
        </w:rPr>
      </w:pPr>
    </w:p>
    <w:p w14:paraId="22BA637B" w14:textId="69BB0103" w:rsidR="003773D2" w:rsidRDefault="003773D2" w:rsidP="003773D2">
      <w:pPr>
        <w:rPr>
          <w:lang w:val="en-AU"/>
        </w:rPr>
      </w:pPr>
      <w:r>
        <w:rPr>
          <w:lang w:val="en-AU"/>
        </w:rPr>
        <w:t xml:space="preserve">All of this has led to uncertainty about the approach of measurers in assessing the validity of a vang under the IOM Class Rules, and a concern on the part of IOM Owners that their boat may be ruled </w:t>
      </w:r>
      <w:r w:rsidR="00A41191">
        <w:rPr>
          <w:lang w:val="en-AU"/>
        </w:rPr>
        <w:t>non-compliant</w:t>
      </w:r>
      <w:r>
        <w:rPr>
          <w:lang w:val="en-AU"/>
        </w:rPr>
        <w:t xml:space="preserve"> as a result.</w:t>
      </w:r>
    </w:p>
    <w:p w14:paraId="32A0CE08" w14:textId="77777777" w:rsidR="003773D2" w:rsidRDefault="003773D2" w:rsidP="003773D2">
      <w:pPr>
        <w:rPr>
          <w:lang w:val="en-AU"/>
        </w:rPr>
      </w:pPr>
    </w:p>
    <w:p w14:paraId="0A3690D0" w14:textId="277772C5" w:rsidR="003773D2" w:rsidRDefault="003773D2" w:rsidP="003773D2">
      <w:pPr>
        <w:rPr>
          <w:lang w:val="en-AU"/>
        </w:rPr>
      </w:pPr>
      <w:r>
        <w:rPr>
          <w:lang w:val="en-AU"/>
        </w:rPr>
        <w:t xml:space="preserve">This document sets out the current position, a summary of how this position was arrived at, and some considerations for a position going forward.  </w:t>
      </w:r>
    </w:p>
    <w:p w14:paraId="783809E1" w14:textId="77777777" w:rsidR="003773D2" w:rsidRDefault="003773D2" w:rsidP="003773D2">
      <w:pPr>
        <w:rPr>
          <w:lang w:val="en-AU"/>
        </w:rPr>
      </w:pPr>
    </w:p>
    <w:p w14:paraId="640B9A77" w14:textId="428CE1D8" w:rsidR="003773D2" w:rsidRPr="00324E47" w:rsidRDefault="003773D2" w:rsidP="003773D2">
      <w:pPr>
        <w:rPr>
          <w:b/>
          <w:bCs/>
          <w:lang w:val="en-AU"/>
        </w:rPr>
      </w:pPr>
      <w:r w:rsidRPr="00324E47">
        <w:rPr>
          <w:b/>
          <w:bCs/>
          <w:lang w:val="en-AU"/>
        </w:rPr>
        <w:t>This document is not an “interpretation”, nor a formal “answer” to a question, nor the considered position of the IOMICA Technical Committee or Executive Committee.  It is purely for the purpose of framing a discussion that may lead to greater clarity.</w:t>
      </w:r>
    </w:p>
    <w:p w14:paraId="69C7F5DE" w14:textId="77777777" w:rsidR="00811911" w:rsidRDefault="00811911">
      <w:pPr>
        <w:rPr>
          <w:lang w:val="en-AU"/>
        </w:rPr>
      </w:pPr>
    </w:p>
    <w:p w14:paraId="4FDDE5EC" w14:textId="3E57AB94" w:rsidR="00811911" w:rsidRDefault="00625825" w:rsidP="007F53D6">
      <w:pPr>
        <w:pStyle w:val="Heading2"/>
        <w:rPr>
          <w:lang w:val="en-AU"/>
        </w:rPr>
      </w:pPr>
      <w:r>
        <w:rPr>
          <w:lang w:val="en-AU"/>
        </w:rPr>
        <w:t>Relevant Rules:</w:t>
      </w:r>
    </w:p>
    <w:p w14:paraId="6C438B3C" w14:textId="77777777" w:rsidR="00625825" w:rsidRDefault="00625825">
      <w:pPr>
        <w:rPr>
          <w:lang w:val="en-AU"/>
        </w:rPr>
      </w:pPr>
    </w:p>
    <w:p w14:paraId="1626D5BF" w14:textId="77777777" w:rsidR="00625825" w:rsidRDefault="00625825" w:rsidP="00625825">
      <w:pPr>
        <w:pStyle w:val="ListParagraph"/>
        <w:numPr>
          <w:ilvl w:val="0"/>
          <w:numId w:val="4"/>
        </w:numPr>
        <w:rPr>
          <w:lang w:val="en-AU"/>
        </w:rPr>
      </w:pPr>
      <w:r w:rsidRPr="00B63BBD">
        <w:rPr>
          <w:lang w:val="en-AU"/>
        </w:rPr>
        <w:t xml:space="preserve">F.2.3 </w:t>
      </w:r>
      <w:r>
        <w:rPr>
          <w:lang w:val="en-AU"/>
        </w:rPr>
        <w:t xml:space="preserve">[RIG, GENERAL] LIMITATIONS.  </w:t>
      </w:r>
      <w:r w:rsidRPr="00B63BBD">
        <w:rPr>
          <w:lang w:val="en-AU"/>
        </w:rPr>
        <w:t>The function of items shall be limited to what is normally provided by</w:t>
      </w:r>
      <w:r>
        <w:rPr>
          <w:lang w:val="en-AU"/>
        </w:rPr>
        <w:t xml:space="preserve"> </w:t>
      </w:r>
      <w:r w:rsidRPr="00B63BBD">
        <w:rPr>
          <w:lang w:val="en-AU"/>
        </w:rPr>
        <w:t>items of their type</w:t>
      </w:r>
      <w:r>
        <w:rPr>
          <w:lang w:val="en-AU"/>
        </w:rPr>
        <w:t>.</w:t>
      </w:r>
    </w:p>
    <w:p w14:paraId="6AE2CE76" w14:textId="77777777" w:rsidR="00625825" w:rsidRDefault="00625825" w:rsidP="00625825">
      <w:pPr>
        <w:pStyle w:val="ListParagraph"/>
        <w:numPr>
          <w:ilvl w:val="0"/>
          <w:numId w:val="4"/>
        </w:numPr>
        <w:rPr>
          <w:lang w:val="en-AU"/>
        </w:rPr>
      </w:pPr>
      <w:r>
        <w:rPr>
          <w:lang w:val="en-AU"/>
        </w:rPr>
        <w:t xml:space="preserve">F.2.4[RIG, GENERAL, CONSTRUCTION] </w:t>
      </w:r>
    </w:p>
    <w:p w14:paraId="1A17690D" w14:textId="77777777" w:rsidR="00625825" w:rsidRDefault="00625825" w:rsidP="00625825">
      <w:pPr>
        <w:pStyle w:val="ListParagraph"/>
        <w:numPr>
          <w:ilvl w:val="0"/>
          <w:numId w:val="5"/>
        </w:numPr>
        <w:rPr>
          <w:lang w:val="en-AU"/>
        </w:rPr>
      </w:pPr>
      <w:r w:rsidRPr="00C90B35">
        <w:rPr>
          <w:lang w:val="en-AU"/>
        </w:rPr>
        <w:t>Fittings and/or control lines may be combined provided their function is not extended beyond what is permitted.</w:t>
      </w:r>
    </w:p>
    <w:p w14:paraId="7D56F70F" w14:textId="77777777" w:rsidR="00625825" w:rsidRPr="00625825" w:rsidRDefault="00625825" w:rsidP="00625825">
      <w:pPr>
        <w:ind w:left="1440"/>
        <w:rPr>
          <w:lang w:val="en-AU"/>
        </w:rPr>
      </w:pPr>
      <w:r w:rsidRPr="00625825">
        <w:rPr>
          <w:lang w:val="en-AU"/>
        </w:rPr>
        <w:t xml:space="preserve">(d) Where the </w:t>
      </w:r>
      <w:r w:rsidRPr="00625825">
        <w:rPr>
          <w:b/>
          <w:bCs/>
          <w:lang w:val="en-AU"/>
        </w:rPr>
        <w:t>mast</w:t>
      </w:r>
      <w:r w:rsidRPr="00625825">
        <w:rPr>
          <w:lang w:val="en-AU"/>
        </w:rPr>
        <w:t xml:space="preserve"> </w:t>
      </w:r>
      <w:r w:rsidRPr="00625825">
        <w:rPr>
          <w:u w:val="single"/>
          <w:lang w:val="en-AU"/>
        </w:rPr>
        <w:t>vang</w:t>
      </w:r>
      <w:r w:rsidRPr="00625825">
        <w:rPr>
          <w:lang w:val="en-AU"/>
        </w:rPr>
        <w:t xml:space="preserve"> fitting and/or gooseneck:</w:t>
      </w:r>
    </w:p>
    <w:p w14:paraId="0C50F8EF" w14:textId="77777777" w:rsidR="00625825" w:rsidRPr="00625825" w:rsidRDefault="00625825" w:rsidP="00625825">
      <w:pPr>
        <w:ind w:left="2160"/>
        <w:rPr>
          <w:lang w:val="en-AU"/>
        </w:rPr>
      </w:pPr>
      <w:r w:rsidRPr="00625825">
        <w:rPr>
          <w:lang w:val="en-AU"/>
        </w:rPr>
        <w:t>(1) are exposed,</w:t>
      </w:r>
    </w:p>
    <w:p w14:paraId="196A8D51" w14:textId="77777777" w:rsidR="00625825" w:rsidRPr="00625825" w:rsidRDefault="00625825" w:rsidP="00625825">
      <w:pPr>
        <w:ind w:left="2160"/>
        <w:rPr>
          <w:lang w:val="en-AU"/>
        </w:rPr>
      </w:pPr>
      <w:r w:rsidRPr="00625825">
        <w:rPr>
          <w:lang w:val="en-AU"/>
        </w:rPr>
        <w:t>(2) are not of circular cross section, and</w:t>
      </w:r>
    </w:p>
    <w:p w14:paraId="27BC2183" w14:textId="77777777" w:rsidR="00625825" w:rsidRPr="00625825" w:rsidRDefault="00625825" w:rsidP="00625825">
      <w:pPr>
        <w:ind w:left="2160"/>
        <w:rPr>
          <w:lang w:val="en-AU"/>
        </w:rPr>
      </w:pPr>
      <w:r w:rsidRPr="00625825">
        <w:rPr>
          <w:lang w:val="en-AU"/>
        </w:rPr>
        <w:t>(3) rotate,</w:t>
      </w:r>
    </w:p>
    <w:p w14:paraId="775E6432" w14:textId="77777777" w:rsidR="00625825" w:rsidRPr="00625825" w:rsidRDefault="00625825" w:rsidP="00625825">
      <w:pPr>
        <w:ind w:left="2160"/>
        <w:rPr>
          <w:lang w:val="en-AU"/>
        </w:rPr>
      </w:pPr>
      <w:r w:rsidRPr="00625825">
        <w:rPr>
          <w:lang w:val="en-AU"/>
        </w:rPr>
        <w:t>they shall not exceed 20 mm in any cross section perpendicular to the axis of rotation.</w:t>
      </w:r>
    </w:p>
    <w:p w14:paraId="06581CD6" w14:textId="77777777" w:rsidR="00625825" w:rsidRPr="00625825" w:rsidRDefault="00625825" w:rsidP="00625825">
      <w:pPr>
        <w:ind w:left="2160"/>
        <w:rPr>
          <w:lang w:val="en-AU"/>
        </w:rPr>
      </w:pPr>
    </w:p>
    <w:p w14:paraId="7F96B111" w14:textId="024C550D" w:rsidR="00625825" w:rsidRPr="007C6A82" w:rsidRDefault="00625825" w:rsidP="00625825">
      <w:pPr>
        <w:pStyle w:val="ListParagraph"/>
        <w:numPr>
          <w:ilvl w:val="0"/>
          <w:numId w:val="4"/>
        </w:numPr>
        <w:rPr>
          <w:lang w:val="en-AU"/>
        </w:rPr>
      </w:pPr>
      <w:r>
        <w:rPr>
          <w:lang w:val="en-AU"/>
        </w:rPr>
        <w:t>F</w:t>
      </w:r>
      <w:r w:rsidRPr="007C6A82">
        <w:rPr>
          <w:lang w:val="en-AU"/>
        </w:rPr>
        <w:t>.2.5 CONSTRUCTION TECHNIQUES</w:t>
      </w:r>
    </w:p>
    <w:p w14:paraId="5313CD04" w14:textId="77777777" w:rsidR="00625825" w:rsidRPr="007C6A82" w:rsidRDefault="00625825" w:rsidP="00625825">
      <w:pPr>
        <w:ind w:left="1440"/>
        <w:rPr>
          <w:lang w:val="en-AU"/>
        </w:rPr>
      </w:pPr>
      <w:r w:rsidRPr="007C6A82">
        <w:rPr>
          <w:lang w:val="en-AU"/>
        </w:rPr>
        <w:t xml:space="preserve">Construction techniques for forming </w:t>
      </w:r>
      <w:r w:rsidRPr="007C6A82">
        <w:rPr>
          <w:b/>
          <w:bCs/>
          <w:lang w:val="en-AU"/>
        </w:rPr>
        <w:t>rigs</w:t>
      </w:r>
      <w:r w:rsidRPr="007C6A82">
        <w:rPr>
          <w:lang w:val="en-AU"/>
        </w:rPr>
        <w:t xml:space="preserve"> are unrestricted.</w:t>
      </w:r>
    </w:p>
    <w:p w14:paraId="39ACE566" w14:textId="77777777" w:rsidR="00625825" w:rsidRDefault="00625825" w:rsidP="00625825">
      <w:pPr>
        <w:pStyle w:val="ListParagraph"/>
        <w:numPr>
          <w:ilvl w:val="0"/>
          <w:numId w:val="4"/>
        </w:numPr>
        <w:rPr>
          <w:lang w:val="en-AU"/>
        </w:rPr>
      </w:pPr>
      <w:r>
        <w:rPr>
          <w:lang w:val="en-AU"/>
        </w:rPr>
        <w:t>F.3.1[RIG, MAST MATERIALS]</w:t>
      </w:r>
    </w:p>
    <w:p w14:paraId="38E956D1" w14:textId="77777777" w:rsidR="00625825" w:rsidRPr="00C90B35" w:rsidRDefault="00625825" w:rsidP="00625825">
      <w:pPr>
        <w:ind w:left="1440"/>
        <w:rPr>
          <w:lang w:val="en-AU"/>
        </w:rPr>
      </w:pPr>
      <w:r w:rsidRPr="00C90B35">
        <w:rPr>
          <w:lang w:val="en-AU"/>
        </w:rPr>
        <w:t>(c</w:t>
      </w:r>
      <w:r>
        <w:rPr>
          <w:lang w:val="en-AU"/>
        </w:rPr>
        <w:t xml:space="preserve">) </w:t>
      </w:r>
      <w:r w:rsidRPr="00C90B35">
        <w:rPr>
          <w:lang w:val="en-AU"/>
        </w:rPr>
        <w:t>Material of fittings is unrestricted.</w:t>
      </w:r>
    </w:p>
    <w:p w14:paraId="6AB464D1" w14:textId="77777777" w:rsidR="00625825" w:rsidRDefault="00625825" w:rsidP="00625825">
      <w:pPr>
        <w:pStyle w:val="ListParagraph"/>
        <w:numPr>
          <w:ilvl w:val="0"/>
          <w:numId w:val="4"/>
        </w:numPr>
        <w:rPr>
          <w:lang w:val="en-AU"/>
        </w:rPr>
      </w:pPr>
      <w:r>
        <w:rPr>
          <w:lang w:val="en-AU"/>
        </w:rPr>
        <w:t>F.4.1 [RIG, BOOM MATERIALS]</w:t>
      </w:r>
    </w:p>
    <w:p w14:paraId="258C9E6A" w14:textId="77777777" w:rsidR="00625825" w:rsidRPr="007C6A82" w:rsidRDefault="00625825" w:rsidP="00625825">
      <w:pPr>
        <w:ind w:left="1440"/>
        <w:rPr>
          <w:lang w:val="en-AU"/>
        </w:rPr>
      </w:pPr>
      <w:r>
        <w:rPr>
          <w:lang w:val="en-AU"/>
        </w:rPr>
        <w:t xml:space="preserve">(c) </w:t>
      </w:r>
      <w:r w:rsidRPr="007C6A82">
        <w:rPr>
          <w:lang w:val="en-AU"/>
        </w:rPr>
        <w:t>Material of fittings is unrestricted.</w:t>
      </w:r>
    </w:p>
    <w:p w14:paraId="4C2090EF" w14:textId="77777777" w:rsidR="00625825" w:rsidRPr="0090160B" w:rsidRDefault="00625825" w:rsidP="00625825">
      <w:pPr>
        <w:pStyle w:val="ListParagraph"/>
        <w:numPr>
          <w:ilvl w:val="0"/>
          <w:numId w:val="4"/>
        </w:numPr>
        <w:rPr>
          <w:lang w:val="en-AU"/>
        </w:rPr>
      </w:pPr>
      <w:r>
        <w:rPr>
          <w:lang w:val="en-AU"/>
        </w:rPr>
        <w:t xml:space="preserve">F.3.3 [RIG, MAST] </w:t>
      </w:r>
      <w:r w:rsidRPr="0090160B">
        <w:rPr>
          <w:lang w:val="en-AU"/>
        </w:rPr>
        <w:t>FITTINGS</w:t>
      </w:r>
    </w:p>
    <w:p w14:paraId="75EE120C" w14:textId="3B4F43FE" w:rsidR="00625825" w:rsidRDefault="00625825" w:rsidP="00625825">
      <w:pPr>
        <w:ind w:left="1440"/>
        <w:rPr>
          <w:lang w:val="en-AU"/>
        </w:rPr>
      </w:pPr>
      <w:r w:rsidRPr="0090160B">
        <w:rPr>
          <w:lang w:val="en-AU"/>
        </w:rPr>
        <w:t>(a) MANDATORY</w:t>
      </w:r>
    </w:p>
    <w:p w14:paraId="493744BB" w14:textId="77777777" w:rsidR="00625825" w:rsidRDefault="00625825" w:rsidP="00625825">
      <w:pPr>
        <w:ind w:left="2160"/>
        <w:rPr>
          <w:lang w:val="en-AU"/>
        </w:rPr>
      </w:pPr>
      <w:r w:rsidRPr="0090160B">
        <w:rPr>
          <w:lang w:val="en-AU"/>
        </w:rPr>
        <w:t xml:space="preserve">(4) </w:t>
      </w:r>
      <w:r>
        <w:rPr>
          <w:u w:val="single"/>
          <w:lang w:val="en-AU"/>
        </w:rPr>
        <w:t>Vang</w:t>
      </w:r>
      <w:r w:rsidRPr="0090160B">
        <w:rPr>
          <w:lang w:val="en-AU"/>
        </w:rPr>
        <w:t xml:space="preserve"> fitting.</w:t>
      </w:r>
    </w:p>
    <w:p w14:paraId="563F8774" w14:textId="77777777" w:rsidR="00625825" w:rsidRPr="0090160B" w:rsidRDefault="00625825" w:rsidP="00625825">
      <w:pPr>
        <w:pStyle w:val="ListParagraph"/>
        <w:numPr>
          <w:ilvl w:val="0"/>
          <w:numId w:val="4"/>
        </w:numPr>
        <w:rPr>
          <w:lang w:val="en-AU"/>
        </w:rPr>
      </w:pPr>
      <w:r>
        <w:rPr>
          <w:lang w:val="en-AU"/>
        </w:rPr>
        <w:t xml:space="preserve">F.4.3 [RIG] </w:t>
      </w:r>
      <w:r w:rsidRPr="0090160B">
        <w:rPr>
          <w:lang w:val="en-AU"/>
        </w:rPr>
        <w:t>MAINSAIL BOOM FITTINGS</w:t>
      </w:r>
    </w:p>
    <w:p w14:paraId="5E3C5E6E" w14:textId="77777777" w:rsidR="00625825" w:rsidRPr="0090160B" w:rsidRDefault="00625825" w:rsidP="00625825">
      <w:pPr>
        <w:ind w:left="1440"/>
        <w:rPr>
          <w:lang w:val="en-AU"/>
        </w:rPr>
      </w:pPr>
      <w:r w:rsidRPr="0090160B">
        <w:rPr>
          <w:lang w:val="en-AU"/>
        </w:rPr>
        <w:lastRenderedPageBreak/>
        <w:t>(a) MANDATORY</w:t>
      </w:r>
    </w:p>
    <w:p w14:paraId="03EC0EBB" w14:textId="77777777" w:rsidR="00625825" w:rsidRDefault="00625825" w:rsidP="00625825">
      <w:pPr>
        <w:ind w:left="2160"/>
        <w:rPr>
          <w:lang w:val="en-AU"/>
        </w:rPr>
      </w:pPr>
      <w:r w:rsidRPr="0090160B">
        <w:rPr>
          <w:lang w:val="en-AU"/>
        </w:rPr>
        <w:t xml:space="preserve">(3) </w:t>
      </w:r>
      <w:r>
        <w:rPr>
          <w:u w:val="single"/>
          <w:lang w:val="en-AU"/>
        </w:rPr>
        <w:t>Vang</w:t>
      </w:r>
      <w:r w:rsidRPr="0090160B">
        <w:rPr>
          <w:lang w:val="en-AU"/>
        </w:rPr>
        <w:t xml:space="preserve"> fitting</w:t>
      </w:r>
      <w:r>
        <w:rPr>
          <w:lang w:val="en-AU"/>
        </w:rPr>
        <w:t>(s)</w:t>
      </w:r>
      <w:r w:rsidRPr="0090160B">
        <w:rPr>
          <w:lang w:val="en-AU"/>
        </w:rPr>
        <w:t>.</w:t>
      </w:r>
    </w:p>
    <w:p w14:paraId="4FA0911C" w14:textId="77777777" w:rsidR="00625825" w:rsidRPr="0090160B" w:rsidRDefault="00625825" w:rsidP="00625825">
      <w:pPr>
        <w:pStyle w:val="ListParagraph"/>
        <w:numPr>
          <w:ilvl w:val="0"/>
          <w:numId w:val="4"/>
        </w:numPr>
        <w:rPr>
          <w:lang w:val="en-AU"/>
        </w:rPr>
      </w:pPr>
      <w:r>
        <w:rPr>
          <w:lang w:val="en-AU"/>
        </w:rPr>
        <w:t xml:space="preserve">F.6.2 [RIG, RUNNING RIGGING] </w:t>
      </w:r>
      <w:r w:rsidRPr="0090160B">
        <w:rPr>
          <w:lang w:val="en-AU"/>
        </w:rPr>
        <w:t>PARTS</w:t>
      </w:r>
    </w:p>
    <w:p w14:paraId="5DEBCD17" w14:textId="77777777" w:rsidR="00625825" w:rsidRPr="0090160B" w:rsidRDefault="00625825" w:rsidP="00625825">
      <w:pPr>
        <w:ind w:left="1440"/>
        <w:rPr>
          <w:lang w:val="en-AU"/>
        </w:rPr>
      </w:pPr>
      <w:r w:rsidRPr="0090160B">
        <w:rPr>
          <w:lang w:val="en-AU"/>
        </w:rPr>
        <w:t>(a) MANDATORY</w:t>
      </w:r>
    </w:p>
    <w:p w14:paraId="3A27D71A" w14:textId="77777777" w:rsidR="00625825" w:rsidRPr="0090160B" w:rsidRDefault="00625825" w:rsidP="00625825">
      <w:pPr>
        <w:ind w:left="2160"/>
        <w:rPr>
          <w:lang w:val="en-AU"/>
        </w:rPr>
      </w:pPr>
      <w:r w:rsidRPr="0090160B">
        <w:rPr>
          <w:lang w:val="en-AU"/>
        </w:rPr>
        <w:t xml:space="preserve">(2) Mainsail </w:t>
      </w:r>
      <w:r>
        <w:rPr>
          <w:lang w:val="en-AU"/>
        </w:rPr>
        <w:t xml:space="preserve">boom </w:t>
      </w:r>
      <w:r>
        <w:rPr>
          <w:u w:val="single"/>
          <w:lang w:val="en-AU"/>
        </w:rPr>
        <w:t>vang</w:t>
      </w:r>
      <w:r w:rsidRPr="0090160B">
        <w:rPr>
          <w:lang w:val="en-AU"/>
        </w:rPr>
        <w:t>.</w:t>
      </w:r>
    </w:p>
    <w:p w14:paraId="47E9CBD1" w14:textId="77777777" w:rsidR="00625825" w:rsidRDefault="00625825">
      <w:pPr>
        <w:rPr>
          <w:lang w:val="en-AU"/>
        </w:rPr>
      </w:pPr>
    </w:p>
    <w:p w14:paraId="72823DB3" w14:textId="0A130EFF" w:rsidR="00625825" w:rsidRDefault="00625825">
      <w:pPr>
        <w:rPr>
          <w:lang w:val="en-AU"/>
        </w:rPr>
      </w:pPr>
      <w:r>
        <w:rPr>
          <w:lang w:val="en-AU"/>
        </w:rPr>
        <w:t>Notes:</w:t>
      </w:r>
    </w:p>
    <w:p w14:paraId="64C4F932" w14:textId="1A76BAF9" w:rsidR="00625825" w:rsidRPr="00625825" w:rsidRDefault="00625825" w:rsidP="00625825">
      <w:pPr>
        <w:pStyle w:val="ListParagraph"/>
        <w:numPr>
          <w:ilvl w:val="0"/>
          <w:numId w:val="6"/>
        </w:numPr>
        <w:tabs>
          <w:tab w:val="left" w:pos="6096"/>
        </w:tabs>
        <w:rPr>
          <w:lang w:val="en-AU"/>
        </w:rPr>
      </w:pPr>
      <w:r w:rsidRPr="00625825">
        <w:rPr>
          <w:lang w:val="en-AU"/>
        </w:rPr>
        <w:t xml:space="preserve">Although frequently referred to as a singular item, </w:t>
      </w:r>
      <w:r>
        <w:rPr>
          <w:lang w:val="en-AU"/>
        </w:rPr>
        <w:t>a vang</w:t>
      </w:r>
      <w:r w:rsidRPr="00625825">
        <w:rPr>
          <w:lang w:val="en-AU"/>
        </w:rPr>
        <w:t xml:space="preserve"> is, by Rule, made up of three </w:t>
      </w:r>
      <w:r>
        <w:rPr>
          <w:lang w:val="en-AU"/>
        </w:rPr>
        <w:t xml:space="preserve">mandatory </w:t>
      </w:r>
      <w:r w:rsidRPr="00625825">
        <w:rPr>
          <w:lang w:val="en-AU"/>
        </w:rPr>
        <w:t>items, each with their own requirements and restrictions:</w:t>
      </w:r>
    </w:p>
    <w:p w14:paraId="7398DAC9" w14:textId="75EFF018" w:rsidR="00625825" w:rsidRDefault="00625825" w:rsidP="00625825">
      <w:pPr>
        <w:pStyle w:val="ListParagraph"/>
        <w:numPr>
          <w:ilvl w:val="1"/>
          <w:numId w:val="6"/>
        </w:numPr>
        <w:tabs>
          <w:tab w:val="left" w:pos="6096"/>
        </w:tabs>
        <w:rPr>
          <w:lang w:val="en-AU"/>
        </w:rPr>
      </w:pPr>
      <w:r>
        <w:rPr>
          <w:lang w:val="en-AU"/>
        </w:rPr>
        <w:t xml:space="preserve">Rule F.3.3(a)(4): </w:t>
      </w:r>
      <w:r w:rsidRPr="009D2043">
        <w:rPr>
          <w:b/>
          <w:bCs/>
          <w:lang w:val="en-AU"/>
        </w:rPr>
        <w:t>Mast</w:t>
      </w:r>
      <w:r>
        <w:rPr>
          <w:lang w:val="en-AU"/>
        </w:rPr>
        <w:t xml:space="preserve"> </w:t>
      </w:r>
      <w:r>
        <w:rPr>
          <w:u w:val="single"/>
          <w:lang w:val="en-AU"/>
        </w:rPr>
        <w:t>vang</w:t>
      </w:r>
      <w:r>
        <w:rPr>
          <w:lang w:val="en-AU"/>
        </w:rPr>
        <w:t xml:space="preserve"> fitting</w:t>
      </w:r>
    </w:p>
    <w:p w14:paraId="4A0E593D" w14:textId="5B43CCFF" w:rsidR="00625825" w:rsidRDefault="00625825" w:rsidP="00625825">
      <w:pPr>
        <w:pStyle w:val="ListParagraph"/>
        <w:numPr>
          <w:ilvl w:val="1"/>
          <w:numId w:val="6"/>
        </w:numPr>
        <w:tabs>
          <w:tab w:val="left" w:pos="6096"/>
        </w:tabs>
        <w:rPr>
          <w:lang w:val="en-AU"/>
        </w:rPr>
      </w:pPr>
      <w:r>
        <w:rPr>
          <w:lang w:val="en-AU"/>
        </w:rPr>
        <w:t xml:space="preserve">Rule F4.3(a)(3) </w:t>
      </w:r>
      <w:r>
        <w:rPr>
          <w:b/>
          <w:bCs/>
          <w:lang w:val="en-AU"/>
        </w:rPr>
        <w:t>Boom</w:t>
      </w:r>
      <w:r>
        <w:rPr>
          <w:lang w:val="en-AU"/>
        </w:rPr>
        <w:t xml:space="preserve"> </w:t>
      </w:r>
      <w:r>
        <w:rPr>
          <w:u w:val="single"/>
          <w:lang w:val="en-AU"/>
        </w:rPr>
        <w:t>vang</w:t>
      </w:r>
      <w:r>
        <w:rPr>
          <w:lang w:val="en-AU"/>
        </w:rPr>
        <w:t xml:space="preserve"> fitting(s)</w:t>
      </w:r>
    </w:p>
    <w:p w14:paraId="79C8B0FC" w14:textId="0DD220F0" w:rsidR="00625825" w:rsidRPr="00625825" w:rsidRDefault="00625825" w:rsidP="00625825">
      <w:pPr>
        <w:pStyle w:val="ListParagraph"/>
        <w:numPr>
          <w:ilvl w:val="1"/>
          <w:numId w:val="6"/>
        </w:numPr>
        <w:rPr>
          <w:lang w:val="en-AU"/>
        </w:rPr>
      </w:pPr>
      <w:r w:rsidRPr="00625825">
        <w:rPr>
          <w:lang w:val="en-AU"/>
        </w:rPr>
        <w:t>Rule F6.2</w:t>
      </w:r>
      <w:r>
        <w:rPr>
          <w:lang w:val="en-AU"/>
        </w:rPr>
        <w:t>(a)(2)</w:t>
      </w:r>
      <w:r w:rsidRPr="00625825">
        <w:rPr>
          <w:lang w:val="en-AU"/>
        </w:rPr>
        <w:t xml:space="preserve"> Mainsail </w:t>
      </w:r>
      <w:r w:rsidRPr="00625825">
        <w:rPr>
          <w:b/>
          <w:bCs/>
          <w:lang w:val="en-AU"/>
        </w:rPr>
        <w:t>boom</w:t>
      </w:r>
      <w:r w:rsidRPr="00625825">
        <w:rPr>
          <w:lang w:val="en-AU"/>
        </w:rPr>
        <w:t xml:space="preserve"> </w:t>
      </w:r>
      <w:r w:rsidRPr="00625825">
        <w:rPr>
          <w:u w:val="single"/>
          <w:lang w:val="en-AU"/>
        </w:rPr>
        <w:t>vang</w:t>
      </w:r>
    </w:p>
    <w:p w14:paraId="318C2C40" w14:textId="64C10183" w:rsidR="00625825" w:rsidRDefault="00625825" w:rsidP="00625825">
      <w:pPr>
        <w:pStyle w:val="ListParagraph"/>
        <w:numPr>
          <w:ilvl w:val="0"/>
          <w:numId w:val="6"/>
        </w:numPr>
        <w:rPr>
          <w:lang w:val="en-AU"/>
        </w:rPr>
      </w:pPr>
      <w:r w:rsidRPr="00625825">
        <w:rPr>
          <w:lang w:val="en-AU"/>
        </w:rPr>
        <w:t xml:space="preserve">F.2.4(a) </w:t>
      </w:r>
      <w:r w:rsidRPr="00625825">
        <w:rPr>
          <w:b/>
          <w:bCs/>
          <w:lang w:val="en-AU"/>
        </w:rPr>
        <w:t>only</w:t>
      </w:r>
      <w:r w:rsidRPr="00625825">
        <w:rPr>
          <w:lang w:val="en-AU"/>
        </w:rPr>
        <w:t xml:space="preserve"> applies if </w:t>
      </w:r>
      <w:r>
        <w:rPr>
          <w:lang w:val="en-AU"/>
        </w:rPr>
        <w:t xml:space="preserve">some part of </w:t>
      </w:r>
      <w:r w:rsidRPr="00625825">
        <w:rPr>
          <w:lang w:val="en-AU"/>
        </w:rPr>
        <w:t xml:space="preserve">the </w:t>
      </w:r>
      <w:r w:rsidRPr="00625825">
        <w:rPr>
          <w:u w:val="single"/>
          <w:lang w:val="en-AU"/>
        </w:rPr>
        <w:t>vang</w:t>
      </w:r>
      <w:r w:rsidRPr="00625825">
        <w:rPr>
          <w:lang w:val="en-AU"/>
        </w:rPr>
        <w:t xml:space="preserve"> is combined with some other fitting</w:t>
      </w:r>
      <w:r>
        <w:rPr>
          <w:lang w:val="en-AU"/>
        </w:rPr>
        <w:t xml:space="preserve"> and then only to the combined item</w:t>
      </w:r>
      <w:r w:rsidRPr="00625825">
        <w:rPr>
          <w:lang w:val="en-AU"/>
        </w:rPr>
        <w:t>.</w:t>
      </w:r>
      <w:r>
        <w:rPr>
          <w:lang w:val="en-AU"/>
        </w:rPr>
        <w:t xml:space="preserve">  Where a part of the vang is not combined with something else, F.2.3 applies.</w:t>
      </w:r>
    </w:p>
    <w:p w14:paraId="5727C5DE" w14:textId="11F7E6AA" w:rsidR="00625825" w:rsidRPr="00625825" w:rsidRDefault="00625825" w:rsidP="00625825">
      <w:pPr>
        <w:pStyle w:val="ListParagraph"/>
        <w:numPr>
          <w:ilvl w:val="0"/>
          <w:numId w:val="6"/>
        </w:numPr>
        <w:rPr>
          <w:lang w:val="en-AU"/>
        </w:rPr>
      </w:pPr>
      <w:r>
        <w:rPr>
          <w:lang w:val="en-AU"/>
        </w:rPr>
        <w:t xml:space="preserve">F.2.4(d) applies </w:t>
      </w:r>
      <w:r>
        <w:rPr>
          <w:b/>
          <w:bCs/>
          <w:lang w:val="en-AU"/>
        </w:rPr>
        <w:t>only</w:t>
      </w:r>
      <w:r>
        <w:rPr>
          <w:lang w:val="en-AU"/>
        </w:rPr>
        <w:t xml:space="preserve"> to the vang mast fitting (i.e. from F.3.3(a)) and not to the vang itself.</w:t>
      </w:r>
    </w:p>
    <w:p w14:paraId="3E09E4D2" w14:textId="77777777" w:rsidR="00625825" w:rsidRDefault="00625825">
      <w:pPr>
        <w:rPr>
          <w:lang w:val="en-AU"/>
        </w:rPr>
      </w:pPr>
    </w:p>
    <w:p w14:paraId="2FE7A514" w14:textId="77777777" w:rsidR="00EA02F7" w:rsidRDefault="00EA02F7">
      <w:pPr>
        <w:rPr>
          <w:lang w:val="en-AU"/>
        </w:rPr>
      </w:pPr>
    </w:p>
    <w:p w14:paraId="7D33DA96" w14:textId="0FD70B4C" w:rsidR="002D628B" w:rsidRDefault="002D628B" w:rsidP="007F53D6">
      <w:pPr>
        <w:pStyle w:val="Heading2"/>
        <w:rPr>
          <w:lang w:val="en-AU"/>
        </w:rPr>
      </w:pPr>
      <w:r>
        <w:rPr>
          <w:lang w:val="en-AU"/>
        </w:rPr>
        <w:t xml:space="preserve">Recent </w:t>
      </w:r>
      <w:r w:rsidR="007F53D6">
        <w:rPr>
          <w:lang w:val="en-AU"/>
        </w:rPr>
        <w:t xml:space="preserve">Rule </w:t>
      </w:r>
      <w:r>
        <w:rPr>
          <w:lang w:val="en-AU"/>
        </w:rPr>
        <w:t>History</w:t>
      </w:r>
    </w:p>
    <w:p w14:paraId="2DF26E2F" w14:textId="77777777" w:rsidR="002D628B" w:rsidRDefault="002D628B">
      <w:pPr>
        <w:rPr>
          <w:lang w:val="en-AU"/>
        </w:rPr>
      </w:pPr>
    </w:p>
    <w:p w14:paraId="776B26D1" w14:textId="20CEBCFF" w:rsidR="001953F2" w:rsidRDefault="001953F2">
      <w:pPr>
        <w:rPr>
          <w:b/>
          <w:bCs/>
          <w:lang w:val="en-AU"/>
        </w:rPr>
      </w:pPr>
      <w:r>
        <w:rPr>
          <w:b/>
          <w:bCs/>
          <w:lang w:val="en-AU"/>
        </w:rPr>
        <w:t>Interpretation 2015-IOM-1</w:t>
      </w:r>
    </w:p>
    <w:p w14:paraId="32138C17" w14:textId="77777777" w:rsidR="001953F2" w:rsidRPr="001953F2" w:rsidRDefault="001953F2">
      <w:pPr>
        <w:rPr>
          <w:b/>
          <w:bCs/>
          <w:lang w:val="en-AU"/>
        </w:rPr>
      </w:pPr>
    </w:p>
    <w:p w14:paraId="3E24740D" w14:textId="4472CC46" w:rsidR="002D628B" w:rsidRDefault="002D628B" w:rsidP="002D628B">
      <w:pPr>
        <w:tabs>
          <w:tab w:val="left" w:pos="6096"/>
        </w:tabs>
        <w:rPr>
          <w:lang w:val="en-AU"/>
        </w:rPr>
      </w:pPr>
      <w:r w:rsidRPr="009266FC">
        <w:rPr>
          <w:lang w:val="en-AU"/>
        </w:rPr>
        <w:t>Interpretation</w:t>
      </w:r>
      <w:r>
        <w:rPr>
          <w:lang w:val="en-AU"/>
        </w:rPr>
        <w:t xml:space="preserve"> 2015-IOM-1 was issued by the IRSA and IOMICA Technical Committees and addressed </w:t>
      </w:r>
      <w:r w:rsidR="001953F2">
        <w:rPr>
          <w:lang w:val="en-AU"/>
        </w:rPr>
        <w:t>four variants of a fitting(s) as shown below.</w:t>
      </w:r>
    </w:p>
    <w:p w14:paraId="641E7E30" w14:textId="77777777" w:rsidR="002D628B" w:rsidRDefault="002D628B" w:rsidP="002D628B">
      <w:pPr>
        <w:tabs>
          <w:tab w:val="left" w:pos="6096"/>
        </w:tabs>
        <w:rPr>
          <w:lang w:val="en-AU"/>
        </w:rPr>
      </w:pPr>
    </w:p>
    <w:p w14:paraId="0D4013BA" w14:textId="4F514941" w:rsidR="002D628B" w:rsidRDefault="002D628B" w:rsidP="002D628B">
      <w:pPr>
        <w:tabs>
          <w:tab w:val="left" w:pos="6096"/>
        </w:tabs>
        <w:rPr>
          <w:lang w:val="en-AU"/>
        </w:rPr>
      </w:pPr>
      <w:r w:rsidRPr="002D628B">
        <w:rPr>
          <w:noProof/>
          <w:lang w:val="en-AU"/>
        </w:rPr>
        <w:drawing>
          <wp:inline distT="0" distB="0" distL="0" distR="0" wp14:anchorId="7C7427EA" wp14:editId="6D01C948">
            <wp:extent cx="5727700" cy="2128520"/>
            <wp:effectExtent l="0" t="0" r="0" b="5080"/>
            <wp:docPr id="19159961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5996177" name=""/>
                    <pic:cNvPicPr/>
                  </pic:nvPicPr>
                  <pic:blipFill>
                    <a:blip r:embed="rId7"/>
                    <a:stretch>
                      <a:fillRect/>
                    </a:stretch>
                  </pic:blipFill>
                  <pic:spPr>
                    <a:xfrm>
                      <a:off x="0" y="0"/>
                      <a:ext cx="5727700" cy="2128520"/>
                    </a:xfrm>
                    <a:prstGeom prst="rect">
                      <a:avLst/>
                    </a:prstGeom>
                  </pic:spPr>
                </pic:pic>
              </a:graphicData>
            </a:graphic>
          </wp:inline>
        </w:drawing>
      </w:r>
    </w:p>
    <w:p w14:paraId="5F788C9A" w14:textId="77777777" w:rsidR="002D628B" w:rsidRDefault="002D628B" w:rsidP="002D628B">
      <w:pPr>
        <w:tabs>
          <w:tab w:val="left" w:pos="6096"/>
        </w:tabs>
        <w:rPr>
          <w:lang w:val="en-AU"/>
        </w:rPr>
      </w:pPr>
    </w:p>
    <w:p w14:paraId="0A738C16" w14:textId="77777777" w:rsidR="001953F2" w:rsidRDefault="001953F2" w:rsidP="002D628B">
      <w:pPr>
        <w:tabs>
          <w:tab w:val="left" w:pos="6096"/>
        </w:tabs>
        <w:rPr>
          <w:lang w:val="en-AU"/>
        </w:rPr>
      </w:pPr>
      <w:r>
        <w:rPr>
          <w:lang w:val="en-AU"/>
        </w:rPr>
        <w:t xml:space="preserve">The Interpretation found that both the fitting attached to the boom and the fitting rotating around the gooseneck to be </w:t>
      </w:r>
      <w:r>
        <w:rPr>
          <w:b/>
          <w:bCs/>
          <w:lang w:val="en-AU"/>
        </w:rPr>
        <w:t>not permitted</w:t>
      </w:r>
      <w:r>
        <w:rPr>
          <w:lang w:val="en-AU"/>
        </w:rPr>
        <w:t xml:space="preserve">.  </w:t>
      </w:r>
    </w:p>
    <w:p w14:paraId="491682A9" w14:textId="77777777" w:rsidR="001953F2" w:rsidRDefault="001953F2" w:rsidP="002D628B">
      <w:pPr>
        <w:tabs>
          <w:tab w:val="left" w:pos="6096"/>
        </w:tabs>
        <w:rPr>
          <w:lang w:val="en-AU"/>
        </w:rPr>
      </w:pPr>
    </w:p>
    <w:p w14:paraId="38929139" w14:textId="151C716C" w:rsidR="002D628B" w:rsidRDefault="001953F2" w:rsidP="002D628B">
      <w:pPr>
        <w:tabs>
          <w:tab w:val="left" w:pos="6096"/>
        </w:tabs>
        <w:rPr>
          <w:lang w:val="en-AU"/>
        </w:rPr>
      </w:pPr>
      <w:r>
        <w:rPr>
          <w:lang w:val="en-AU"/>
        </w:rPr>
        <w:t xml:space="preserve">Importantly, </w:t>
      </w:r>
      <w:r w:rsidRPr="001953F2">
        <w:rPr>
          <w:i/>
          <w:iCs/>
          <w:lang w:val="en-AU"/>
        </w:rPr>
        <w:t>Interpretation 2015-IOM-1</w:t>
      </w:r>
      <w:r>
        <w:rPr>
          <w:lang w:val="en-AU"/>
        </w:rPr>
        <w:t xml:space="preserve"> established that “[an item’s function could be extended] by its size providing additional ‘area’ with the potential to add to the driving force”</w:t>
      </w:r>
      <w:r w:rsidR="00FD162A">
        <w:rPr>
          <w:lang w:val="en-AU"/>
        </w:rPr>
        <w:t>.  This extended function breached Rule F.2.4(a) or F.2.3</w:t>
      </w:r>
      <w:r w:rsidR="009275A9">
        <w:rPr>
          <w:lang w:val="en-AU"/>
        </w:rPr>
        <w:t>,</w:t>
      </w:r>
      <w:r w:rsidR="00FD162A">
        <w:rPr>
          <w:lang w:val="en-AU"/>
        </w:rPr>
        <w:t xml:space="preserve"> </w:t>
      </w:r>
      <w:r>
        <w:rPr>
          <w:lang w:val="en-AU"/>
        </w:rPr>
        <w:t>although additional reasons were cited for rejecting the fittings.</w:t>
      </w:r>
    </w:p>
    <w:p w14:paraId="539239AC" w14:textId="77777777" w:rsidR="001953F2" w:rsidRDefault="001953F2" w:rsidP="002D628B">
      <w:pPr>
        <w:tabs>
          <w:tab w:val="left" w:pos="6096"/>
        </w:tabs>
        <w:rPr>
          <w:lang w:val="en-AU"/>
        </w:rPr>
      </w:pPr>
    </w:p>
    <w:p w14:paraId="5DB54B73" w14:textId="620C47B1" w:rsidR="00FD162A" w:rsidRDefault="001953F2" w:rsidP="002D628B">
      <w:pPr>
        <w:tabs>
          <w:tab w:val="left" w:pos="6096"/>
        </w:tabs>
        <w:rPr>
          <w:lang w:val="en-AU"/>
        </w:rPr>
      </w:pPr>
      <w:r>
        <w:rPr>
          <w:lang w:val="en-AU"/>
        </w:rPr>
        <w:t xml:space="preserve">However, </w:t>
      </w:r>
      <w:r w:rsidR="00FD162A">
        <w:rPr>
          <w:lang w:val="en-AU"/>
        </w:rPr>
        <w:t xml:space="preserve">according to the </w:t>
      </w:r>
      <w:r w:rsidR="00FD162A" w:rsidRPr="00FD162A">
        <w:rPr>
          <w:i/>
          <w:iCs/>
          <w:lang w:val="en-AU"/>
        </w:rPr>
        <w:t>History of the International One Metre Rules</w:t>
      </w:r>
      <w:r w:rsidR="00FD162A">
        <w:rPr>
          <w:i/>
          <w:iCs/>
          <w:lang w:val="en-AU"/>
        </w:rPr>
        <w:t>,</w:t>
      </w:r>
      <w:r w:rsidR="00FD162A">
        <w:rPr>
          <w:lang w:val="en-AU"/>
        </w:rPr>
        <w:t xml:space="preserve"> </w:t>
      </w:r>
      <w:r>
        <w:rPr>
          <w:lang w:val="en-AU"/>
        </w:rPr>
        <w:t xml:space="preserve">the </w:t>
      </w:r>
      <w:r w:rsidR="00FD162A">
        <w:rPr>
          <w:lang w:val="en-AU"/>
        </w:rPr>
        <w:t xml:space="preserve">2015 revision of the IOM Class Rules implemented Rule F.2.4(d) to permit fittings that would have been ruled </w:t>
      </w:r>
      <w:r w:rsidR="00A41191">
        <w:rPr>
          <w:lang w:val="en-AU"/>
        </w:rPr>
        <w:t>non-compliant</w:t>
      </w:r>
      <w:r w:rsidR="00FD162A">
        <w:rPr>
          <w:lang w:val="en-AU"/>
        </w:rPr>
        <w:t xml:space="preserve"> under </w:t>
      </w:r>
      <w:r w:rsidR="00FD162A" w:rsidRPr="00A41191">
        <w:rPr>
          <w:i/>
          <w:iCs/>
          <w:lang w:val="en-AU"/>
        </w:rPr>
        <w:t>Interpretation 2015-IOM-1</w:t>
      </w:r>
      <w:r w:rsidR="00FD162A">
        <w:rPr>
          <w:lang w:val="en-AU"/>
        </w:rPr>
        <w:t xml:space="preserve">.  The </w:t>
      </w:r>
      <w:r w:rsidR="00FD162A">
        <w:rPr>
          <w:i/>
          <w:iCs/>
          <w:lang w:val="en-AU"/>
        </w:rPr>
        <w:t>History</w:t>
      </w:r>
      <w:r w:rsidR="00FD162A">
        <w:rPr>
          <w:lang w:val="en-AU"/>
        </w:rPr>
        <w:t xml:space="preserve"> notes that </w:t>
      </w:r>
    </w:p>
    <w:p w14:paraId="2CF76145" w14:textId="6FB6CDD8" w:rsidR="00FD162A" w:rsidRPr="00FD162A" w:rsidRDefault="00FD162A" w:rsidP="00FD162A">
      <w:pPr>
        <w:tabs>
          <w:tab w:val="left" w:pos="6096"/>
        </w:tabs>
        <w:ind w:left="720"/>
        <w:rPr>
          <w:lang w:val="en-AU"/>
        </w:rPr>
      </w:pPr>
      <w:r>
        <w:rPr>
          <w:lang w:val="en-AU"/>
        </w:rPr>
        <w:t xml:space="preserve">[a] </w:t>
      </w:r>
      <w:r w:rsidRPr="00FD162A">
        <w:rPr>
          <w:lang w:val="en-AU"/>
        </w:rPr>
        <w:t xml:space="preserve">great number of fittings, </w:t>
      </w:r>
      <w:proofErr w:type="gramStart"/>
      <w:r w:rsidRPr="00FD162A">
        <w:rPr>
          <w:lang w:val="en-AU"/>
        </w:rPr>
        <w:t>similar to</w:t>
      </w:r>
      <w:proofErr w:type="gramEnd"/>
      <w:r w:rsidRPr="00FD162A">
        <w:rPr>
          <w:lang w:val="en-AU"/>
        </w:rPr>
        <w:t xml:space="preserve"> those shown on the photo </w:t>
      </w:r>
      <w:r>
        <w:rPr>
          <w:lang w:val="en-AU"/>
        </w:rPr>
        <w:t xml:space="preserve">[above] </w:t>
      </w:r>
      <w:r w:rsidRPr="00FD162A">
        <w:rPr>
          <w:lang w:val="en-AU"/>
        </w:rPr>
        <w:t>(from several</w:t>
      </w:r>
      <w:r>
        <w:rPr>
          <w:lang w:val="en-AU"/>
        </w:rPr>
        <w:t xml:space="preserve"> </w:t>
      </w:r>
      <w:r w:rsidRPr="00FD162A">
        <w:rPr>
          <w:lang w:val="en-AU"/>
        </w:rPr>
        <w:t>manufacturers and amateur builders), have been produced, sold and used in competition over a period of</w:t>
      </w:r>
      <w:r>
        <w:rPr>
          <w:lang w:val="en-AU"/>
        </w:rPr>
        <w:t xml:space="preserve"> </w:t>
      </w:r>
      <w:r w:rsidRPr="00FD162A">
        <w:rPr>
          <w:lang w:val="en-AU"/>
        </w:rPr>
        <w:t>several years without comment</w:t>
      </w:r>
    </w:p>
    <w:p w14:paraId="7C32BF73" w14:textId="77777777" w:rsidR="006F179E" w:rsidRDefault="006F179E" w:rsidP="002D628B">
      <w:pPr>
        <w:tabs>
          <w:tab w:val="left" w:pos="6096"/>
        </w:tabs>
        <w:rPr>
          <w:lang w:val="en-AU"/>
        </w:rPr>
      </w:pPr>
    </w:p>
    <w:p w14:paraId="3D6508A3" w14:textId="3F897425" w:rsidR="00FD162A" w:rsidRDefault="001929D0" w:rsidP="002D628B">
      <w:pPr>
        <w:tabs>
          <w:tab w:val="left" w:pos="6096"/>
        </w:tabs>
        <w:rPr>
          <w:lang w:val="en-AU"/>
        </w:rPr>
      </w:pPr>
      <w:r>
        <w:rPr>
          <w:lang w:val="en-AU"/>
        </w:rPr>
        <w:t xml:space="preserve">Under IRSA rules, </w:t>
      </w:r>
      <w:r w:rsidRPr="00A41191">
        <w:rPr>
          <w:i/>
          <w:iCs/>
          <w:lang w:val="en-AU"/>
        </w:rPr>
        <w:t>Interpretation 2015-IOM-1</w:t>
      </w:r>
      <w:r>
        <w:rPr>
          <w:lang w:val="en-AU"/>
        </w:rPr>
        <w:t xml:space="preserve"> no longer has any standing but does continue to be cited in the vang discussions</w:t>
      </w:r>
      <w:r w:rsidR="005A7940">
        <w:rPr>
          <w:lang w:val="en-AU"/>
        </w:rPr>
        <w:t xml:space="preserve"> because its fundamental statement linking item size to extended or additional function continues to be relevant.</w:t>
      </w:r>
    </w:p>
    <w:p w14:paraId="7E471D11" w14:textId="77777777" w:rsidR="001929D0" w:rsidRDefault="001929D0" w:rsidP="002D628B">
      <w:pPr>
        <w:tabs>
          <w:tab w:val="left" w:pos="6096"/>
        </w:tabs>
        <w:rPr>
          <w:lang w:val="en-AU"/>
        </w:rPr>
      </w:pPr>
    </w:p>
    <w:p w14:paraId="74993C87" w14:textId="2DF740E6" w:rsidR="00FD162A" w:rsidRDefault="00FD162A" w:rsidP="002D628B">
      <w:pPr>
        <w:tabs>
          <w:tab w:val="left" w:pos="6096"/>
        </w:tabs>
        <w:rPr>
          <w:b/>
          <w:bCs/>
          <w:lang w:val="en-AU"/>
        </w:rPr>
      </w:pPr>
      <w:r>
        <w:rPr>
          <w:b/>
          <w:bCs/>
          <w:lang w:val="en-AU"/>
        </w:rPr>
        <w:t>Class Rule Amendment 2024</w:t>
      </w:r>
    </w:p>
    <w:p w14:paraId="5F01EBE9" w14:textId="77777777" w:rsidR="00FD162A" w:rsidRDefault="00FD162A" w:rsidP="002D628B">
      <w:pPr>
        <w:tabs>
          <w:tab w:val="left" w:pos="6096"/>
        </w:tabs>
        <w:rPr>
          <w:b/>
          <w:bCs/>
          <w:lang w:val="en-AU"/>
        </w:rPr>
      </w:pPr>
    </w:p>
    <w:p w14:paraId="17D0F35F" w14:textId="753B8029" w:rsidR="001929D0" w:rsidRDefault="001929D0" w:rsidP="002D628B">
      <w:pPr>
        <w:tabs>
          <w:tab w:val="left" w:pos="6096"/>
        </w:tabs>
        <w:rPr>
          <w:lang w:val="en-AU"/>
        </w:rPr>
      </w:pPr>
      <w:r>
        <w:rPr>
          <w:lang w:val="en-AU"/>
        </w:rPr>
        <w:t>In February 2024, an emergency decision was taken by the IOMICA Executive (under Clause 8.1 of the IOMICA Constitution) to amend the IOM Class Rules and add Rule F.2.4(e):</w:t>
      </w:r>
    </w:p>
    <w:p w14:paraId="6675BC94" w14:textId="77777777" w:rsidR="001929D0" w:rsidRPr="001929D0" w:rsidRDefault="001929D0" w:rsidP="001929D0">
      <w:pPr>
        <w:tabs>
          <w:tab w:val="left" w:pos="6096"/>
        </w:tabs>
        <w:ind w:left="720"/>
        <w:rPr>
          <w:lang w:val="en-AU"/>
        </w:rPr>
      </w:pPr>
      <w:r w:rsidRPr="001929D0">
        <w:rPr>
          <w:lang w:val="en-AU"/>
        </w:rPr>
        <w:t>Kicking strap shall be capable of passing through a 20 mm ring gauge.</w:t>
      </w:r>
    </w:p>
    <w:p w14:paraId="40DD2BB6" w14:textId="77777777" w:rsidR="001929D0" w:rsidRPr="001929D0" w:rsidRDefault="001929D0" w:rsidP="001929D0">
      <w:pPr>
        <w:tabs>
          <w:tab w:val="left" w:pos="6096"/>
        </w:tabs>
        <w:ind w:left="720"/>
        <w:rPr>
          <w:lang w:val="en-AU"/>
        </w:rPr>
      </w:pPr>
    </w:p>
    <w:p w14:paraId="56251208" w14:textId="2ABF304A" w:rsidR="00FD162A" w:rsidRDefault="001929D0" w:rsidP="002D628B">
      <w:pPr>
        <w:tabs>
          <w:tab w:val="left" w:pos="6096"/>
        </w:tabs>
        <w:rPr>
          <w:lang w:val="en-AU"/>
        </w:rPr>
      </w:pPr>
      <w:r>
        <w:rPr>
          <w:lang w:val="en-AU"/>
        </w:rPr>
        <w:t>The amendment noted that:</w:t>
      </w:r>
    </w:p>
    <w:p w14:paraId="045869CB" w14:textId="75AB0B5B" w:rsidR="001929D0" w:rsidRDefault="005A7940" w:rsidP="001929D0">
      <w:pPr>
        <w:pStyle w:val="ListParagraph"/>
        <w:numPr>
          <w:ilvl w:val="0"/>
          <w:numId w:val="4"/>
        </w:numPr>
        <w:tabs>
          <w:tab w:val="left" w:pos="6096"/>
        </w:tabs>
        <w:rPr>
          <w:lang w:val="en-AU"/>
        </w:rPr>
      </w:pPr>
      <w:r>
        <w:rPr>
          <w:lang w:val="en-AU"/>
        </w:rPr>
        <w:t>It</w:t>
      </w:r>
      <w:r w:rsidR="001929D0">
        <w:rPr>
          <w:lang w:val="en-AU"/>
        </w:rPr>
        <w:t xml:space="preserve"> was triggered by the appearance of a new style of kicking strap/vang at the 2023 European Championship</w:t>
      </w:r>
      <w:r w:rsidR="00B155C2">
        <w:rPr>
          <w:lang w:val="en-AU"/>
        </w:rPr>
        <w:t xml:space="preserve"> that was passed by Event Measurers and caused no protest from other competitors or the Event Technical Committee</w:t>
      </w:r>
      <w:r w:rsidR="001929D0">
        <w:rPr>
          <w:lang w:val="en-AU"/>
        </w:rPr>
        <w:t xml:space="preserve">.  </w:t>
      </w:r>
      <w:r w:rsidR="00B155C2">
        <w:rPr>
          <w:i/>
          <w:iCs/>
          <w:lang w:val="en-AU"/>
        </w:rPr>
        <w:t xml:space="preserve">Note: </w:t>
      </w:r>
      <w:r w:rsidR="001929D0" w:rsidRPr="00B155C2">
        <w:rPr>
          <w:i/>
          <w:iCs/>
          <w:lang w:val="en-AU"/>
        </w:rPr>
        <w:t xml:space="preserve">Without any negative connotations being intended, this kicking strap/vang will be referred to henceforth as the “Viss Vang” </w:t>
      </w:r>
      <w:r w:rsidR="00A41191">
        <w:rPr>
          <w:i/>
          <w:iCs/>
          <w:lang w:val="en-AU"/>
        </w:rPr>
        <w:t xml:space="preserve">further </w:t>
      </w:r>
      <w:r w:rsidR="001929D0" w:rsidRPr="00B155C2">
        <w:rPr>
          <w:i/>
          <w:iCs/>
          <w:lang w:val="en-AU"/>
        </w:rPr>
        <w:t xml:space="preserve">noting that anyone can (and do) make </w:t>
      </w:r>
      <w:r w:rsidR="00B155C2">
        <w:rPr>
          <w:i/>
          <w:iCs/>
          <w:lang w:val="en-AU"/>
        </w:rPr>
        <w:t xml:space="preserve">and use </w:t>
      </w:r>
      <w:r w:rsidR="001929D0" w:rsidRPr="00B155C2">
        <w:rPr>
          <w:i/>
          <w:iCs/>
          <w:lang w:val="en-AU"/>
        </w:rPr>
        <w:t>such vangs.</w:t>
      </w:r>
      <w:r w:rsidR="001C23DC">
        <w:rPr>
          <w:i/>
          <w:iCs/>
          <w:lang w:val="en-AU"/>
        </w:rPr>
        <w:t xml:space="preserve">  See Figure 1 below.</w:t>
      </w:r>
    </w:p>
    <w:p w14:paraId="67DA411E" w14:textId="34762B10" w:rsidR="00B155C2" w:rsidRPr="00B155C2" w:rsidRDefault="00B155C2" w:rsidP="00B155C2">
      <w:pPr>
        <w:pStyle w:val="ListParagraph"/>
        <w:numPr>
          <w:ilvl w:val="0"/>
          <w:numId w:val="4"/>
        </w:numPr>
        <w:tabs>
          <w:tab w:val="left" w:pos="6096"/>
        </w:tabs>
        <w:rPr>
          <w:lang w:val="en-AU"/>
        </w:rPr>
      </w:pPr>
      <w:r>
        <w:rPr>
          <w:lang w:val="en-AU"/>
        </w:rPr>
        <w:t xml:space="preserve">The purpose of the amendment was to “… </w:t>
      </w:r>
      <w:r w:rsidRPr="00B155C2">
        <w:rPr>
          <w:lang w:val="en-AU"/>
        </w:rPr>
        <w:t>restrict new development in direction</w:t>
      </w:r>
      <w:r>
        <w:rPr>
          <w:lang w:val="en-AU"/>
        </w:rPr>
        <w:t xml:space="preserve"> </w:t>
      </w:r>
      <w:r w:rsidRPr="00B155C2">
        <w:rPr>
          <w:lang w:val="en-AU"/>
        </w:rPr>
        <w:t>of further increasing of kicking</w:t>
      </w:r>
      <w:r>
        <w:rPr>
          <w:lang w:val="en-AU"/>
        </w:rPr>
        <w:t xml:space="preserve"> </w:t>
      </w:r>
      <w:r w:rsidRPr="00B155C2">
        <w:rPr>
          <w:lang w:val="en-AU"/>
        </w:rPr>
        <w:t>strap area</w:t>
      </w:r>
      <w:r>
        <w:rPr>
          <w:lang w:val="en-AU"/>
        </w:rPr>
        <w:t xml:space="preserve">”.  It was further noted </w:t>
      </w:r>
      <w:r w:rsidR="00FD3377">
        <w:rPr>
          <w:lang w:val="en-AU"/>
        </w:rPr>
        <w:t xml:space="preserve">that </w:t>
      </w:r>
      <w:r>
        <w:rPr>
          <w:lang w:val="en-AU"/>
        </w:rPr>
        <w:t>Rule F.2.4(d) introduced in 2015 did not address the size of the vang.</w:t>
      </w:r>
    </w:p>
    <w:p w14:paraId="736B5AD3" w14:textId="77777777" w:rsidR="00FD162A" w:rsidRDefault="00FD162A" w:rsidP="002D628B">
      <w:pPr>
        <w:tabs>
          <w:tab w:val="left" w:pos="6096"/>
        </w:tabs>
        <w:rPr>
          <w:b/>
          <w:bCs/>
          <w:lang w:val="en-AU"/>
        </w:rPr>
      </w:pPr>
    </w:p>
    <w:p w14:paraId="0AD54590" w14:textId="77777777" w:rsidR="001C23DC" w:rsidRDefault="001C23DC" w:rsidP="001C23DC">
      <w:pPr>
        <w:keepNext/>
        <w:tabs>
          <w:tab w:val="left" w:pos="6096"/>
        </w:tabs>
        <w:jc w:val="center"/>
      </w:pPr>
      <w:r>
        <w:rPr>
          <w:b/>
          <w:bCs/>
          <w:noProof/>
          <w:lang w:val="en-AU"/>
        </w:rPr>
        <w:drawing>
          <wp:inline distT="0" distB="0" distL="0" distR="0" wp14:anchorId="1671DDDD" wp14:editId="71DE0847">
            <wp:extent cx="3105576" cy="1430447"/>
            <wp:effectExtent l="0" t="0" r="0" b="5080"/>
            <wp:docPr id="4930237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3023781" name="Picture 493023781"/>
                    <pic:cNvPicPr/>
                  </pic:nvPicPr>
                  <pic:blipFill>
                    <a:blip r:embed="rId8">
                      <a:extLst>
                        <a:ext uri="{28A0092B-C50C-407E-A947-70E740481C1C}">
                          <a14:useLocalDpi xmlns:a14="http://schemas.microsoft.com/office/drawing/2010/main" val="0"/>
                        </a:ext>
                      </a:extLst>
                    </a:blip>
                    <a:stretch>
                      <a:fillRect/>
                    </a:stretch>
                  </pic:blipFill>
                  <pic:spPr>
                    <a:xfrm>
                      <a:off x="0" y="0"/>
                      <a:ext cx="3138028" cy="1445394"/>
                    </a:xfrm>
                    <a:prstGeom prst="rect">
                      <a:avLst/>
                    </a:prstGeom>
                  </pic:spPr>
                </pic:pic>
              </a:graphicData>
            </a:graphic>
          </wp:inline>
        </w:drawing>
      </w:r>
    </w:p>
    <w:p w14:paraId="54DCEEDC" w14:textId="2EC308A5" w:rsidR="003773D2" w:rsidRDefault="001C23DC" w:rsidP="001C23DC">
      <w:pPr>
        <w:pStyle w:val="Caption"/>
        <w:jc w:val="center"/>
        <w:rPr>
          <w:b/>
          <w:bCs/>
          <w:lang w:val="en-AU"/>
        </w:rPr>
      </w:pPr>
      <w:r>
        <w:t xml:space="preserve">Figure </w:t>
      </w:r>
      <w:fldSimple w:instr=" SEQ Figure \* ARABIC ">
        <w:r>
          <w:rPr>
            <w:noProof/>
          </w:rPr>
          <w:t>1</w:t>
        </w:r>
      </w:fldSimple>
      <w:r>
        <w:t xml:space="preserve"> Viss Vang</w:t>
      </w:r>
    </w:p>
    <w:p w14:paraId="16D0F7B7" w14:textId="77777777" w:rsidR="003773D2" w:rsidRDefault="003773D2" w:rsidP="002D628B">
      <w:pPr>
        <w:tabs>
          <w:tab w:val="left" w:pos="6096"/>
        </w:tabs>
        <w:rPr>
          <w:b/>
          <w:bCs/>
          <w:lang w:val="en-AU"/>
        </w:rPr>
      </w:pPr>
    </w:p>
    <w:p w14:paraId="572B68A7" w14:textId="105F21AD" w:rsidR="00B155C2" w:rsidRDefault="00B155C2" w:rsidP="002D628B">
      <w:pPr>
        <w:tabs>
          <w:tab w:val="left" w:pos="6096"/>
        </w:tabs>
        <w:rPr>
          <w:lang w:val="en-AU"/>
        </w:rPr>
      </w:pPr>
      <w:r>
        <w:rPr>
          <w:lang w:val="en-AU"/>
        </w:rPr>
        <w:t>The IOM Worlds in 2024 were conducted under this new Rule F.2.4(e).  In December 2024, the World Council (again, in accordance with the requirements under Clause 8.1 of the Constitution) ratified the emergency decision of the IOMICA Executive</w:t>
      </w:r>
      <w:r w:rsidR="00D41AB0">
        <w:rPr>
          <w:lang w:val="en-AU"/>
        </w:rPr>
        <w:t xml:space="preserve"> with the proposed amendment receiving 77% of the vote</w:t>
      </w:r>
      <w:r>
        <w:rPr>
          <w:lang w:val="en-AU"/>
        </w:rPr>
        <w:t>.</w:t>
      </w:r>
    </w:p>
    <w:p w14:paraId="2EA89640" w14:textId="77777777" w:rsidR="00B155C2" w:rsidRDefault="00B155C2" w:rsidP="002D628B">
      <w:pPr>
        <w:tabs>
          <w:tab w:val="left" w:pos="6096"/>
        </w:tabs>
        <w:rPr>
          <w:lang w:val="en-AU"/>
        </w:rPr>
      </w:pPr>
    </w:p>
    <w:p w14:paraId="1F36E2E2" w14:textId="60FC70F4" w:rsidR="00FD162A" w:rsidRDefault="006C3E35" w:rsidP="002D628B">
      <w:pPr>
        <w:tabs>
          <w:tab w:val="left" w:pos="6096"/>
        </w:tabs>
        <w:rPr>
          <w:lang w:val="en-AU"/>
        </w:rPr>
      </w:pPr>
      <w:r>
        <w:rPr>
          <w:lang w:val="en-AU"/>
        </w:rPr>
        <w:lastRenderedPageBreak/>
        <w:t>In March 2025, IRSA rejected the amendment to the IOM Class Rules (i.e. Rule F.2.4(e)) in accordance with its rights under IOM Class Rule</w:t>
      </w:r>
      <w:r w:rsidR="001C23DC">
        <w:rPr>
          <w:lang w:val="en-AU"/>
        </w:rPr>
        <w:t xml:space="preserve"> A.6.1</w:t>
      </w:r>
      <w:r>
        <w:rPr>
          <w:lang w:val="en-AU"/>
        </w:rPr>
        <w:t xml:space="preserve">.  It is not sensible to try and summarise the extensive and wide-ranging conversation that accompanied that decision.  It is, however, safe to say that the size of the </w:t>
      </w:r>
      <w:r>
        <w:rPr>
          <w:i/>
          <w:iCs/>
          <w:lang w:val="en-AU"/>
        </w:rPr>
        <w:t>Viss Vang</w:t>
      </w:r>
      <w:r>
        <w:rPr>
          <w:lang w:val="en-AU"/>
        </w:rPr>
        <w:t xml:space="preserve"> was at the root of the rejection by IRSA.</w:t>
      </w:r>
    </w:p>
    <w:p w14:paraId="1FFA090F" w14:textId="77777777" w:rsidR="006C3E35" w:rsidRDefault="006C3E35" w:rsidP="002D628B">
      <w:pPr>
        <w:tabs>
          <w:tab w:val="left" w:pos="6096"/>
        </w:tabs>
        <w:rPr>
          <w:lang w:val="en-AU"/>
        </w:rPr>
      </w:pPr>
    </w:p>
    <w:p w14:paraId="2D56D2E4" w14:textId="57234B7B" w:rsidR="006C3E35" w:rsidRPr="006C3E35" w:rsidRDefault="006C3E35" w:rsidP="002D628B">
      <w:pPr>
        <w:tabs>
          <w:tab w:val="left" w:pos="6096"/>
        </w:tabs>
        <w:rPr>
          <w:b/>
          <w:bCs/>
          <w:lang w:val="en-AU"/>
        </w:rPr>
      </w:pPr>
      <w:r w:rsidRPr="006C3E35">
        <w:rPr>
          <w:b/>
          <w:bCs/>
          <w:lang w:val="en-AU"/>
        </w:rPr>
        <w:t>Motions put to the 2025 AGM</w:t>
      </w:r>
    </w:p>
    <w:p w14:paraId="7C8E8BD7" w14:textId="77777777" w:rsidR="006C3E35" w:rsidRDefault="006C3E35" w:rsidP="002D628B">
      <w:pPr>
        <w:tabs>
          <w:tab w:val="left" w:pos="6096"/>
        </w:tabs>
        <w:rPr>
          <w:lang w:val="en-AU"/>
        </w:rPr>
      </w:pPr>
    </w:p>
    <w:p w14:paraId="6E3146CE" w14:textId="62716343" w:rsidR="006C3E35" w:rsidRDefault="00A41191" w:rsidP="002D628B">
      <w:pPr>
        <w:tabs>
          <w:tab w:val="left" w:pos="6096"/>
        </w:tabs>
        <w:rPr>
          <w:lang w:val="en-AU"/>
        </w:rPr>
      </w:pPr>
      <w:r>
        <w:rPr>
          <w:lang w:val="en-AU"/>
        </w:rPr>
        <w:t>T</w:t>
      </w:r>
      <w:r w:rsidR="006C3E35">
        <w:rPr>
          <w:lang w:val="en-AU"/>
        </w:rPr>
        <w:t>hree motions were put to the 2025 IOMICA AGM concerning kicking strap/vangs:</w:t>
      </w:r>
    </w:p>
    <w:p w14:paraId="2930F5C9" w14:textId="7E128F90" w:rsidR="006C3E35" w:rsidRDefault="006C3E35" w:rsidP="006C3E35">
      <w:pPr>
        <w:pStyle w:val="ListParagraph"/>
        <w:numPr>
          <w:ilvl w:val="0"/>
          <w:numId w:val="1"/>
        </w:numPr>
        <w:rPr>
          <w:lang w:val="en-AU"/>
        </w:rPr>
      </w:pPr>
      <w:r>
        <w:rPr>
          <w:lang w:val="en-AU"/>
        </w:rPr>
        <w:t>Resolution 2025-1.  A resubmission of the 2024 rule amendment whereby a kicking strap/vang needed to pass through a 20mm ring gauge.  The proposal attracted a “yes” vote of 58% - insufficient to have it included in the Class Rules.</w:t>
      </w:r>
    </w:p>
    <w:p w14:paraId="7090B863" w14:textId="77777777" w:rsidR="007F53D6" w:rsidRDefault="007F53D6" w:rsidP="007F53D6">
      <w:pPr>
        <w:pStyle w:val="ListParagraph"/>
        <w:numPr>
          <w:ilvl w:val="0"/>
          <w:numId w:val="1"/>
        </w:numPr>
        <w:rPr>
          <w:lang w:val="en-AU"/>
        </w:rPr>
      </w:pPr>
      <w:r>
        <w:rPr>
          <w:lang w:val="en-AU"/>
        </w:rPr>
        <w:t>Resolution 2025-2.  A proposal that the term “kicking strap” be replaced with the term “vang” (with a modified version of the ERS definition to be used) and allowing for additional fittings and openings in the boom.  This proposal attracted a “yes” vote of 79%, passing the threshold required to have it included in the Class Rules.</w:t>
      </w:r>
    </w:p>
    <w:p w14:paraId="5651E135" w14:textId="4F9D6523" w:rsidR="006C3E35" w:rsidRDefault="006C3E35" w:rsidP="006C3E35">
      <w:pPr>
        <w:pStyle w:val="ListParagraph"/>
        <w:numPr>
          <w:ilvl w:val="0"/>
          <w:numId w:val="1"/>
        </w:numPr>
        <w:rPr>
          <w:lang w:val="en-AU"/>
        </w:rPr>
      </w:pPr>
      <w:r>
        <w:rPr>
          <w:lang w:val="en-AU"/>
        </w:rPr>
        <w:t>Resolution 2025-3.  A proposal that the vang should pass through a 10mm ring gauge “... except for a max 35mm which should pass in a 20mm ring gauge.”  This proposal attracted a “yes” vote of 50% - insufficient to have it included in the Class Rules.</w:t>
      </w:r>
    </w:p>
    <w:p w14:paraId="6BE20027" w14:textId="77777777" w:rsidR="006C3E35" w:rsidRDefault="006C3E35" w:rsidP="002D628B">
      <w:pPr>
        <w:tabs>
          <w:tab w:val="left" w:pos="6096"/>
        </w:tabs>
        <w:rPr>
          <w:lang w:val="en-AU"/>
        </w:rPr>
      </w:pPr>
    </w:p>
    <w:p w14:paraId="154370F5" w14:textId="4E1802F6" w:rsidR="006C3E35" w:rsidRDefault="007F53D6" w:rsidP="007F53D6">
      <w:pPr>
        <w:pStyle w:val="Heading2"/>
        <w:rPr>
          <w:lang w:val="en-AU"/>
        </w:rPr>
      </w:pPr>
      <w:r>
        <w:rPr>
          <w:lang w:val="en-AU"/>
        </w:rPr>
        <w:t>Current Status</w:t>
      </w:r>
    </w:p>
    <w:p w14:paraId="68EEE9E7" w14:textId="77777777" w:rsidR="007F53D6" w:rsidRPr="007F53D6" w:rsidRDefault="007F53D6" w:rsidP="002D628B">
      <w:pPr>
        <w:tabs>
          <w:tab w:val="left" w:pos="6096"/>
        </w:tabs>
        <w:rPr>
          <w:b/>
          <w:bCs/>
          <w:lang w:val="en-AU"/>
        </w:rPr>
      </w:pPr>
    </w:p>
    <w:p w14:paraId="0973DF38" w14:textId="0E71AB09" w:rsidR="00FD162A" w:rsidRDefault="007F53D6" w:rsidP="002D628B">
      <w:pPr>
        <w:tabs>
          <w:tab w:val="left" w:pos="6096"/>
        </w:tabs>
        <w:rPr>
          <w:lang w:val="en-AU"/>
        </w:rPr>
      </w:pPr>
      <w:r>
        <w:rPr>
          <w:lang w:val="en-AU"/>
        </w:rPr>
        <w:t xml:space="preserve">In so far as the vang and its related fittings are concerned, IOM Class Rules 2022, with </w:t>
      </w:r>
      <w:r>
        <w:rPr>
          <w:u w:val="single"/>
          <w:lang w:val="en-AU"/>
        </w:rPr>
        <w:t>vang</w:t>
      </w:r>
      <w:r>
        <w:rPr>
          <w:lang w:val="en-AU"/>
        </w:rPr>
        <w:t xml:space="preserve"> replacing kicking strap per Resolution 2025-2, are the standing Class Rules.  This position is variously interpreted as meaning:</w:t>
      </w:r>
    </w:p>
    <w:p w14:paraId="5D534701" w14:textId="189EEDEA" w:rsidR="007F53D6" w:rsidRDefault="007F53D6" w:rsidP="007F53D6">
      <w:pPr>
        <w:pStyle w:val="ListParagraph"/>
        <w:numPr>
          <w:ilvl w:val="0"/>
          <w:numId w:val="7"/>
        </w:numPr>
        <w:tabs>
          <w:tab w:val="left" w:pos="6096"/>
        </w:tabs>
        <w:rPr>
          <w:lang w:val="en-AU"/>
        </w:rPr>
      </w:pPr>
      <w:r>
        <w:rPr>
          <w:lang w:val="en-AU"/>
        </w:rPr>
        <w:t xml:space="preserve">There is no limit on the size of a </w:t>
      </w:r>
      <w:proofErr w:type="gramStart"/>
      <w:r>
        <w:rPr>
          <w:lang w:val="en-AU"/>
        </w:rPr>
        <w:t>vang</w:t>
      </w:r>
      <w:proofErr w:type="gramEnd"/>
      <w:r>
        <w:rPr>
          <w:lang w:val="en-AU"/>
        </w:rPr>
        <w:t xml:space="preserve"> and the failure of Resolutions 2025-1 and Resolutions 2025-3 indicate that IOM Owners </w:t>
      </w:r>
      <w:r w:rsidR="001C23DC">
        <w:rPr>
          <w:lang w:val="en-AU"/>
        </w:rPr>
        <w:t xml:space="preserve">either </w:t>
      </w:r>
      <w:r>
        <w:rPr>
          <w:lang w:val="en-AU"/>
        </w:rPr>
        <w:t>do not wish there to be one</w:t>
      </w:r>
      <w:r w:rsidR="001C23DC">
        <w:rPr>
          <w:lang w:val="en-AU"/>
        </w:rPr>
        <w:t>, or the majority opinion (although short of the 66.6% required to change the rules) is that the 20mm ring gauge test was preferred</w:t>
      </w:r>
      <w:r>
        <w:rPr>
          <w:lang w:val="en-AU"/>
        </w:rPr>
        <w:t>; or</w:t>
      </w:r>
    </w:p>
    <w:p w14:paraId="05F4C04E" w14:textId="25290AB5" w:rsidR="007F53D6" w:rsidRDefault="007F53D6" w:rsidP="007F53D6">
      <w:pPr>
        <w:pStyle w:val="ListParagraph"/>
        <w:numPr>
          <w:ilvl w:val="0"/>
          <w:numId w:val="7"/>
        </w:numPr>
        <w:tabs>
          <w:tab w:val="left" w:pos="6096"/>
        </w:tabs>
        <w:rPr>
          <w:lang w:val="en-AU"/>
        </w:rPr>
      </w:pPr>
      <w:r>
        <w:rPr>
          <w:lang w:val="en-AU"/>
        </w:rPr>
        <w:t xml:space="preserve">IOM Class Rule F.2.3 controls the size of a vang (or other item in the Rig without dimensions specified in the Class Rules) because, at the size of the </w:t>
      </w:r>
      <w:r>
        <w:rPr>
          <w:i/>
          <w:iCs/>
          <w:lang w:val="en-AU"/>
        </w:rPr>
        <w:t>Viss Vang</w:t>
      </w:r>
      <w:r>
        <w:rPr>
          <w:lang w:val="en-AU"/>
        </w:rPr>
        <w:t xml:space="preserve"> and above, the item’s propulsive force is sufficient for it to be regarded as functioning as a </w:t>
      </w:r>
      <w:r>
        <w:rPr>
          <w:b/>
          <w:bCs/>
          <w:lang w:val="en-AU"/>
        </w:rPr>
        <w:t>sail</w:t>
      </w:r>
      <w:r>
        <w:rPr>
          <w:lang w:val="en-AU"/>
        </w:rPr>
        <w:t xml:space="preserve"> </w:t>
      </w:r>
      <w:r w:rsidR="005A7940">
        <w:rPr>
          <w:lang w:val="en-AU"/>
        </w:rPr>
        <w:t xml:space="preserve">(or something even more exotic) </w:t>
      </w:r>
      <w:r w:rsidR="005344C4">
        <w:rPr>
          <w:lang w:val="en-AU"/>
        </w:rPr>
        <w:t>as well as</w:t>
      </w:r>
      <w:r>
        <w:rPr>
          <w:lang w:val="en-AU"/>
        </w:rPr>
        <w:t xml:space="preserve"> the normal function of the item in question.  The failure of Resolution 2025-1 and 2025-3 indicates that they were ill-considered given the purpose of Rule F.2.3.</w:t>
      </w:r>
    </w:p>
    <w:p w14:paraId="7A5CE277" w14:textId="77777777" w:rsidR="007F53D6" w:rsidRDefault="007F53D6" w:rsidP="007F53D6">
      <w:pPr>
        <w:tabs>
          <w:tab w:val="left" w:pos="6096"/>
        </w:tabs>
        <w:rPr>
          <w:lang w:val="en-AU"/>
        </w:rPr>
      </w:pPr>
    </w:p>
    <w:p w14:paraId="428BCBED" w14:textId="01868472" w:rsidR="007F53D6" w:rsidRPr="007F53D6" w:rsidRDefault="001C23DC" w:rsidP="007F53D6">
      <w:pPr>
        <w:tabs>
          <w:tab w:val="left" w:pos="6096"/>
        </w:tabs>
        <w:rPr>
          <w:lang w:val="en-AU"/>
        </w:rPr>
      </w:pPr>
      <w:r>
        <w:rPr>
          <w:lang w:val="en-AU"/>
        </w:rPr>
        <w:t>The challenge is that both interpretations are plausible and</w:t>
      </w:r>
      <w:r w:rsidR="00D41AB0">
        <w:rPr>
          <w:lang w:val="en-AU"/>
        </w:rPr>
        <w:t xml:space="preserve">, on occasion, </w:t>
      </w:r>
      <w:r>
        <w:rPr>
          <w:lang w:val="en-AU"/>
        </w:rPr>
        <w:t>stridently advocated by various members of NCA’s.  This leads to IOM Owners being concerned as to which interpretation will be used when their boat is measured at an event.  This is not a sustainable position for the IOM class.</w:t>
      </w:r>
    </w:p>
    <w:p w14:paraId="2D4AC837" w14:textId="77777777" w:rsidR="007F53D6" w:rsidRDefault="007F53D6" w:rsidP="002D628B">
      <w:pPr>
        <w:tabs>
          <w:tab w:val="left" w:pos="6096"/>
        </w:tabs>
        <w:rPr>
          <w:b/>
          <w:bCs/>
          <w:lang w:val="en-AU"/>
        </w:rPr>
      </w:pPr>
    </w:p>
    <w:p w14:paraId="63C629DD" w14:textId="77777777" w:rsidR="00FB1FAA" w:rsidRDefault="00FB1FAA" w:rsidP="002D628B">
      <w:pPr>
        <w:tabs>
          <w:tab w:val="left" w:pos="6096"/>
        </w:tabs>
        <w:rPr>
          <w:b/>
          <w:bCs/>
          <w:lang w:val="en-AU"/>
        </w:rPr>
      </w:pPr>
    </w:p>
    <w:p w14:paraId="28DC0F88" w14:textId="7A6980A4" w:rsidR="007F53D6" w:rsidRDefault="007F53D6" w:rsidP="001C23DC">
      <w:pPr>
        <w:pStyle w:val="Heading2"/>
        <w:rPr>
          <w:lang w:val="en-AU"/>
        </w:rPr>
      </w:pPr>
      <w:r>
        <w:rPr>
          <w:lang w:val="en-AU"/>
        </w:rPr>
        <w:lastRenderedPageBreak/>
        <w:t>Discussion</w:t>
      </w:r>
    </w:p>
    <w:p w14:paraId="4E3D10D4" w14:textId="77777777" w:rsidR="001C23DC" w:rsidRDefault="001C23DC" w:rsidP="007F53D6">
      <w:pPr>
        <w:rPr>
          <w:lang w:val="en-AU"/>
        </w:rPr>
      </w:pPr>
    </w:p>
    <w:p w14:paraId="41494A86" w14:textId="3C46E7A7" w:rsidR="005A7940" w:rsidRDefault="005A7940" w:rsidP="007F53D6">
      <w:pPr>
        <w:rPr>
          <w:lang w:val="en-AU"/>
        </w:rPr>
      </w:pPr>
      <w:r>
        <w:rPr>
          <w:lang w:val="en-AU"/>
        </w:rPr>
        <w:t xml:space="preserve">There is no doubt that </w:t>
      </w:r>
      <w:r w:rsidR="007A37FB">
        <w:rPr>
          <w:lang w:val="en-AU"/>
        </w:rPr>
        <w:t xml:space="preserve">many regard </w:t>
      </w:r>
      <w:r>
        <w:rPr>
          <w:lang w:val="en-AU"/>
        </w:rPr>
        <w:t xml:space="preserve">the </w:t>
      </w:r>
      <w:r>
        <w:rPr>
          <w:i/>
          <w:iCs/>
          <w:lang w:val="en-AU"/>
        </w:rPr>
        <w:t>Viss Vang</w:t>
      </w:r>
      <w:r>
        <w:rPr>
          <w:lang w:val="en-AU"/>
        </w:rPr>
        <w:t xml:space="preserve"> </w:t>
      </w:r>
      <w:r w:rsidR="007A37FB">
        <w:rPr>
          <w:lang w:val="en-AU"/>
        </w:rPr>
        <w:t>as</w:t>
      </w:r>
      <w:r>
        <w:rPr>
          <w:lang w:val="en-AU"/>
        </w:rPr>
        <w:t xml:space="preserve"> excessively large.  Partially, this is because it is considerably larger than the “standard” fittings in use for many years in the IOM and other IRSA classes.  Equally, however, its proportions are very different from the vangs seen on boats ranging from dinghies to blue-water cruising yachts.</w:t>
      </w:r>
    </w:p>
    <w:p w14:paraId="76379C1E" w14:textId="77777777" w:rsidR="005A7940" w:rsidRDefault="005A7940" w:rsidP="007F53D6">
      <w:pPr>
        <w:rPr>
          <w:lang w:val="en-AU"/>
        </w:rPr>
      </w:pPr>
    </w:p>
    <w:p w14:paraId="4BB9C606" w14:textId="0A90065E" w:rsidR="005A7940" w:rsidRPr="005A7940" w:rsidRDefault="00E73427" w:rsidP="007F53D6">
      <w:pPr>
        <w:rPr>
          <w:lang w:val="en-AU"/>
        </w:rPr>
      </w:pPr>
      <w:r>
        <w:rPr>
          <w:lang w:val="en-AU"/>
        </w:rPr>
        <w:t xml:space="preserve">Two of the other IRSA classes reflect this </w:t>
      </w:r>
      <w:r w:rsidR="00E13C8B">
        <w:rPr>
          <w:lang w:val="en-AU"/>
        </w:rPr>
        <w:t>sense that there is a “normal” size for fittings beyond which restrictions or sail area penalties will apply (my emphasis):</w:t>
      </w:r>
    </w:p>
    <w:p w14:paraId="2ABB4EE4" w14:textId="77777777" w:rsidR="00E73427" w:rsidRDefault="00E73427" w:rsidP="007F53D6">
      <w:pPr>
        <w:rPr>
          <w:lang w:val="en-AU"/>
        </w:rPr>
      </w:pPr>
    </w:p>
    <w:p w14:paraId="73A1B9FD" w14:textId="225B7C46" w:rsidR="007F53D6" w:rsidRDefault="007F53D6" w:rsidP="00E73427">
      <w:pPr>
        <w:ind w:left="720"/>
        <w:rPr>
          <w:lang w:val="en-AU"/>
        </w:rPr>
      </w:pPr>
      <w:r>
        <w:rPr>
          <w:lang w:val="en-AU"/>
        </w:rPr>
        <w:t>The Marblehead Class Rules limit the size of fittings in one specific case:</w:t>
      </w:r>
    </w:p>
    <w:p w14:paraId="1E690869" w14:textId="77777777" w:rsidR="007F53D6" w:rsidRDefault="007F53D6" w:rsidP="00E73427">
      <w:pPr>
        <w:ind w:left="1440"/>
        <w:rPr>
          <w:lang w:val="en-AU"/>
        </w:rPr>
      </w:pPr>
      <w:r>
        <w:rPr>
          <w:lang w:val="en-AU"/>
        </w:rPr>
        <w:t>F.2.3 [RIG] CONSTRUCTION</w:t>
      </w:r>
    </w:p>
    <w:p w14:paraId="3E747465" w14:textId="77777777" w:rsidR="007F53D6" w:rsidRPr="00EA02F7" w:rsidRDefault="007F53D6" w:rsidP="00E73427">
      <w:pPr>
        <w:ind w:left="2160"/>
        <w:rPr>
          <w:lang w:val="en-AU"/>
        </w:rPr>
      </w:pPr>
      <w:r>
        <w:rPr>
          <w:lang w:val="en-AU"/>
        </w:rPr>
        <w:t xml:space="preserve">(a) A fitting attached to a rotating </w:t>
      </w:r>
      <w:r>
        <w:rPr>
          <w:b/>
          <w:bCs/>
          <w:lang w:val="en-AU"/>
        </w:rPr>
        <w:t>spar</w:t>
      </w:r>
      <w:r>
        <w:rPr>
          <w:lang w:val="en-AU"/>
        </w:rPr>
        <w:t xml:space="preserve"> </w:t>
      </w:r>
      <w:r w:rsidRPr="00E13C8B">
        <w:rPr>
          <w:highlight w:val="yellow"/>
          <w:lang w:val="en-AU"/>
        </w:rPr>
        <w:t>shall be no bigger than is reasonably required for its purpose</w:t>
      </w:r>
      <w:r>
        <w:rPr>
          <w:lang w:val="en-AU"/>
        </w:rPr>
        <w:t>.</w:t>
      </w:r>
    </w:p>
    <w:p w14:paraId="14A20EC7" w14:textId="77777777" w:rsidR="007F53D6" w:rsidRDefault="007F53D6" w:rsidP="00E73427">
      <w:pPr>
        <w:ind w:left="720"/>
        <w:rPr>
          <w:lang w:val="en-AU"/>
        </w:rPr>
      </w:pPr>
    </w:p>
    <w:p w14:paraId="281D91BB" w14:textId="47CACF40" w:rsidR="007F53D6" w:rsidRDefault="007F53D6" w:rsidP="00E73427">
      <w:pPr>
        <w:ind w:left="720"/>
        <w:rPr>
          <w:lang w:val="en-AU"/>
        </w:rPr>
      </w:pPr>
      <w:r>
        <w:rPr>
          <w:lang w:val="en-AU"/>
        </w:rPr>
        <w:t>The 10R Class Rules include the size of fittings into the measured spar area (a part of the overall rig area)</w:t>
      </w:r>
      <w:r w:rsidR="00E13C8B">
        <w:rPr>
          <w:lang w:val="en-AU"/>
        </w:rPr>
        <w:t xml:space="preserve"> except where</w:t>
      </w:r>
      <w:r>
        <w:rPr>
          <w:lang w:val="en-AU"/>
        </w:rPr>
        <w:t>:</w:t>
      </w:r>
    </w:p>
    <w:p w14:paraId="116C7792" w14:textId="77777777" w:rsidR="007F53D6" w:rsidRDefault="007F53D6" w:rsidP="00E73427">
      <w:pPr>
        <w:ind w:left="1440"/>
        <w:rPr>
          <w:lang w:val="en-AU"/>
        </w:rPr>
      </w:pPr>
      <w:r>
        <w:rPr>
          <w:lang w:val="en-AU"/>
        </w:rPr>
        <w:t>J.1 [RIG AREA] GENERAL</w:t>
      </w:r>
    </w:p>
    <w:p w14:paraId="0933DE34" w14:textId="77777777" w:rsidR="007F53D6" w:rsidRPr="00EA02F7" w:rsidRDefault="007F53D6" w:rsidP="00E73427">
      <w:pPr>
        <w:ind w:left="2160"/>
        <w:rPr>
          <w:lang w:val="en-AU"/>
        </w:rPr>
      </w:pPr>
      <w:r>
        <w:rPr>
          <w:lang w:val="en-AU"/>
        </w:rPr>
        <w:t xml:space="preserve">(b) Fittings not faired into a </w:t>
      </w:r>
      <w:r>
        <w:rPr>
          <w:b/>
          <w:bCs/>
          <w:lang w:val="en-AU"/>
        </w:rPr>
        <w:t>spar</w:t>
      </w:r>
      <w:r>
        <w:rPr>
          <w:lang w:val="en-AU"/>
        </w:rPr>
        <w:t xml:space="preserve"> and </w:t>
      </w:r>
      <w:r w:rsidRPr="00E13C8B">
        <w:rPr>
          <w:highlight w:val="yellow"/>
          <w:lang w:val="en-AU"/>
        </w:rPr>
        <w:t>no bigger than is reasonably required for their purpose</w:t>
      </w:r>
      <w:r>
        <w:rPr>
          <w:lang w:val="en-AU"/>
        </w:rPr>
        <w:t xml:space="preserve"> shall not </w:t>
      </w:r>
      <w:proofErr w:type="gramStart"/>
      <w:r>
        <w:rPr>
          <w:lang w:val="en-AU"/>
        </w:rPr>
        <w:t>be considered to be</w:t>
      </w:r>
      <w:proofErr w:type="gramEnd"/>
      <w:r>
        <w:rPr>
          <w:lang w:val="en-AU"/>
        </w:rPr>
        <w:t xml:space="preserve"> part of the </w:t>
      </w:r>
      <w:r>
        <w:rPr>
          <w:b/>
          <w:bCs/>
          <w:lang w:val="en-AU"/>
        </w:rPr>
        <w:t>spar</w:t>
      </w:r>
      <w:r>
        <w:rPr>
          <w:lang w:val="en-AU"/>
        </w:rPr>
        <w:t>.</w:t>
      </w:r>
    </w:p>
    <w:p w14:paraId="25E03347" w14:textId="77777777" w:rsidR="007F53D6" w:rsidRDefault="007F53D6" w:rsidP="007F53D6">
      <w:pPr>
        <w:rPr>
          <w:lang w:val="en-AU"/>
        </w:rPr>
      </w:pPr>
    </w:p>
    <w:p w14:paraId="06B72C9F" w14:textId="43BBEC7F" w:rsidR="00E13C8B" w:rsidRDefault="00E13C8B" w:rsidP="007F53D6">
      <w:pPr>
        <w:rPr>
          <w:lang w:val="en-AU"/>
        </w:rPr>
      </w:pPr>
      <w:r>
        <w:rPr>
          <w:lang w:val="en-AU"/>
        </w:rPr>
        <w:t>The IOM Class Rules include no such statement about the size of fittings</w:t>
      </w:r>
      <w:r w:rsidR="007A37FB">
        <w:rPr>
          <w:lang w:val="en-AU"/>
        </w:rPr>
        <w:t>,</w:t>
      </w:r>
      <w:r>
        <w:rPr>
          <w:lang w:val="en-AU"/>
        </w:rPr>
        <w:t xml:space="preserve"> and it is argued that including such subjective statements would cause significant problems.  Nevertheless, it is also the case that the Marblehead and 10 Rater classes seem to get by without too much difficulty</w:t>
      </w:r>
      <w:r w:rsidR="007A37FB">
        <w:rPr>
          <w:lang w:val="en-AU"/>
        </w:rPr>
        <w:t>.</w:t>
      </w:r>
    </w:p>
    <w:p w14:paraId="091032D4" w14:textId="77777777" w:rsidR="007F53D6" w:rsidRDefault="007F53D6" w:rsidP="002D628B">
      <w:pPr>
        <w:tabs>
          <w:tab w:val="left" w:pos="6096"/>
        </w:tabs>
        <w:rPr>
          <w:b/>
          <w:bCs/>
          <w:lang w:val="en-AU"/>
        </w:rPr>
      </w:pPr>
    </w:p>
    <w:p w14:paraId="52F9A8DC" w14:textId="6E9751F8" w:rsidR="00E13C8B" w:rsidRPr="007A37FB" w:rsidRDefault="007A37FB" w:rsidP="002D628B">
      <w:pPr>
        <w:tabs>
          <w:tab w:val="left" w:pos="6096"/>
        </w:tabs>
        <w:rPr>
          <w:lang w:val="en-AU"/>
        </w:rPr>
      </w:pPr>
      <w:r>
        <w:rPr>
          <w:lang w:val="en-AU"/>
        </w:rPr>
        <w:t xml:space="preserve">On the other side of the coin are those that argue that, despite it being larger than “normal” vangs, the surface area of the </w:t>
      </w:r>
      <w:r>
        <w:rPr>
          <w:i/>
          <w:iCs/>
          <w:lang w:val="en-AU"/>
        </w:rPr>
        <w:t>Viss Vang</w:t>
      </w:r>
      <w:r>
        <w:rPr>
          <w:lang w:val="en-AU"/>
        </w:rPr>
        <w:t xml:space="preserve"> is simply not material. </w:t>
      </w:r>
      <w:r w:rsidR="00FB0DD5">
        <w:rPr>
          <w:lang w:val="en-AU"/>
        </w:rPr>
        <w:t xml:space="preserve"> Clearly, all fittings have a surface area and so all fittings contribute some driving force.  But to suggest that all fittings breach F.2.3 as a result is not sensible.  There is presumably a size beyond which the additional driving force becomes material, and that is the true test to be applied.</w:t>
      </w:r>
    </w:p>
    <w:p w14:paraId="51185782" w14:textId="77777777" w:rsidR="00E13C8B" w:rsidRDefault="00E13C8B" w:rsidP="002D628B">
      <w:pPr>
        <w:tabs>
          <w:tab w:val="left" w:pos="6096"/>
        </w:tabs>
        <w:rPr>
          <w:b/>
          <w:bCs/>
          <w:lang w:val="en-AU"/>
        </w:rPr>
      </w:pPr>
    </w:p>
    <w:p w14:paraId="4F8E521F" w14:textId="246FE0DF" w:rsidR="00FB0DD5" w:rsidRDefault="00FB0DD5" w:rsidP="002D628B">
      <w:pPr>
        <w:tabs>
          <w:tab w:val="left" w:pos="6096"/>
        </w:tabs>
        <w:rPr>
          <w:lang w:val="en-AU"/>
        </w:rPr>
      </w:pPr>
      <w:r>
        <w:rPr>
          <w:lang w:val="en-AU"/>
        </w:rPr>
        <w:t xml:space="preserve">The surface area of a </w:t>
      </w:r>
      <w:r>
        <w:rPr>
          <w:i/>
          <w:iCs/>
          <w:lang w:val="en-AU"/>
        </w:rPr>
        <w:t>Viss Vang</w:t>
      </w:r>
      <w:r>
        <w:rPr>
          <w:lang w:val="en-AU"/>
        </w:rPr>
        <w:t xml:space="preserve"> is approximately 2,000 sq mm (0.002 sq m).  </w:t>
      </w:r>
      <w:r w:rsidR="00314445">
        <w:rPr>
          <w:lang w:val="en-AU"/>
        </w:rPr>
        <w:t>That is certainly larger than an average normal vang (~400 sq mm) but c</w:t>
      </w:r>
      <w:r>
        <w:rPr>
          <w:lang w:val="en-AU"/>
        </w:rPr>
        <w:t>ompare that to:</w:t>
      </w:r>
    </w:p>
    <w:p w14:paraId="126C81CE" w14:textId="23312840" w:rsidR="00FB0DD5" w:rsidRDefault="00FB0DD5" w:rsidP="00FB0DD5">
      <w:pPr>
        <w:pStyle w:val="ListParagraph"/>
        <w:numPr>
          <w:ilvl w:val="0"/>
          <w:numId w:val="8"/>
        </w:numPr>
        <w:tabs>
          <w:tab w:val="left" w:pos="6096"/>
        </w:tabs>
        <w:rPr>
          <w:lang w:val="en-AU"/>
        </w:rPr>
      </w:pPr>
      <w:r>
        <w:rPr>
          <w:lang w:val="en-AU"/>
        </w:rPr>
        <w:t>The difference between the largest and smallest A sail areas (i.e. the difference between sails made to the minimum and maximum measurements in G.3.3 and G.4.3) is approximately 24,000 sq mm (0.024 sq m).</w:t>
      </w:r>
    </w:p>
    <w:p w14:paraId="7F83BA01" w14:textId="53515D2D" w:rsidR="00FB0DD5" w:rsidRDefault="00FB0DD5" w:rsidP="00FB0DD5">
      <w:pPr>
        <w:pStyle w:val="ListParagraph"/>
        <w:numPr>
          <w:ilvl w:val="0"/>
          <w:numId w:val="8"/>
        </w:numPr>
        <w:tabs>
          <w:tab w:val="left" w:pos="6096"/>
        </w:tabs>
        <w:rPr>
          <w:lang w:val="en-AU"/>
        </w:rPr>
      </w:pPr>
      <w:r>
        <w:rPr>
          <w:lang w:val="en-AU"/>
        </w:rPr>
        <w:t xml:space="preserve">The difference between main and jib booms made using </w:t>
      </w:r>
      <w:r w:rsidR="00253EDA">
        <w:rPr>
          <w:lang w:val="en-AU"/>
        </w:rPr>
        <w:t>10mm round aluminium tube rather than the maximum allowable 20mm section is 6,000 sq mm (0.006 sq m).</w:t>
      </w:r>
    </w:p>
    <w:p w14:paraId="3813EE35" w14:textId="4C70BF02" w:rsidR="00253EDA" w:rsidRPr="00FB0DD5" w:rsidRDefault="00253EDA" w:rsidP="00FB0DD5">
      <w:pPr>
        <w:pStyle w:val="ListParagraph"/>
        <w:numPr>
          <w:ilvl w:val="0"/>
          <w:numId w:val="8"/>
        </w:numPr>
        <w:tabs>
          <w:tab w:val="left" w:pos="6096"/>
        </w:tabs>
        <w:rPr>
          <w:lang w:val="en-AU"/>
        </w:rPr>
      </w:pPr>
      <w:r>
        <w:rPr>
          <w:lang w:val="en-AU"/>
        </w:rPr>
        <w:t xml:space="preserve">Rule F.2.4(d) restricts the width of a rotating mast vang fitting or gooseneck to 20mm (the dimension perpendicular to the axis of rotation) but does not restrict the height (the dimension parallel to the axis of rotation).  Given that Rule C.7.4(a) essentially sets the distance between the bottom of the sail and the </w:t>
      </w:r>
      <w:r>
        <w:rPr>
          <w:lang w:val="en-AU"/>
        </w:rPr>
        <w:lastRenderedPageBreak/>
        <w:t>deck, the height of the fitting could be between 60mm and 100mm leading to an area between 1200 and 2000 sq mm.</w:t>
      </w:r>
    </w:p>
    <w:p w14:paraId="65ED4C87" w14:textId="77777777" w:rsidR="00FB0DD5" w:rsidRDefault="00FB0DD5" w:rsidP="002D628B">
      <w:pPr>
        <w:tabs>
          <w:tab w:val="left" w:pos="6096"/>
        </w:tabs>
        <w:rPr>
          <w:b/>
          <w:bCs/>
          <w:lang w:val="en-AU"/>
        </w:rPr>
      </w:pPr>
    </w:p>
    <w:p w14:paraId="58ECC588" w14:textId="48DD02E3" w:rsidR="00314445" w:rsidRPr="00314445" w:rsidRDefault="00314445" w:rsidP="002D628B">
      <w:pPr>
        <w:tabs>
          <w:tab w:val="left" w:pos="6096"/>
        </w:tabs>
        <w:rPr>
          <w:lang w:val="en-AU"/>
        </w:rPr>
      </w:pPr>
      <w:proofErr w:type="gramStart"/>
      <w:r>
        <w:rPr>
          <w:lang w:val="en-AU"/>
        </w:rPr>
        <w:t>All of</w:t>
      </w:r>
      <w:proofErr w:type="gramEnd"/>
      <w:r>
        <w:rPr>
          <w:lang w:val="en-AU"/>
        </w:rPr>
        <w:t xml:space="preserve"> the above variations excite no comment yet are larger </w:t>
      </w:r>
      <w:r w:rsidR="00A41191">
        <w:rPr>
          <w:lang w:val="en-AU"/>
        </w:rPr>
        <w:t xml:space="preserve">than </w:t>
      </w:r>
      <w:r>
        <w:rPr>
          <w:lang w:val="en-AU"/>
        </w:rPr>
        <w:t>(or as large</w:t>
      </w:r>
      <w:r w:rsidR="00A41191">
        <w:rPr>
          <w:lang w:val="en-AU"/>
        </w:rPr>
        <w:t xml:space="preserve"> as</w:t>
      </w:r>
      <w:r>
        <w:rPr>
          <w:lang w:val="en-AU"/>
        </w:rPr>
        <w:t xml:space="preserve">) the </w:t>
      </w:r>
      <w:r>
        <w:rPr>
          <w:i/>
          <w:iCs/>
          <w:lang w:val="en-AU"/>
        </w:rPr>
        <w:t>Viss Vang</w:t>
      </w:r>
      <w:r>
        <w:rPr>
          <w:lang w:val="en-AU"/>
        </w:rPr>
        <w:t>.</w:t>
      </w:r>
    </w:p>
    <w:p w14:paraId="65DE2F52" w14:textId="77777777" w:rsidR="00314445" w:rsidRDefault="00314445" w:rsidP="002D628B">
      <w:pPr>
        <w:tabs>
          <w:tab w:val="left" w:pos="6096"/>
        </w:tabs>
        <w:rPr>
          <w:lang w:val="en-AU"/>
        </w:rPr>
      </w:pPr>
    </w:p>
    <w:p w14:paraId="15FCBA2B" w14:textId="77777777" w:rsidR="00314445" w:rsidRDefault="00813687" w:rsidP="002D628B">
      <w:pPr>
        <w:tabs>
          <w:tab w:val="left" w:pos="6096"/>
        </w:tabs>
        <w:rPr>
          <w:lang w:val="en-AU"/>
        </w:rPr>
      </w:pPr>
      <w:r>
        <w:rPr>
          <w:lang w:val="en-AU"/>
        </w:rPr>
        <w:t>There</w:t>
      </w:r>
      <w:r w:rsidR="00253EDA">
        <w:rPr>
          <w:lang w:val="en-AU"/>
        </w:rPr>
        <w:t xml:space="preserve"> are </w:t>
      </w:r>
      <w:r>
        <w:rPr>
          <w:lang w:val="en-AU"/>
        </w:rPr>
        <w:t xml:space="preserve">also </w:t>
      </w:r>
      <w:r w:rsidR="00253EDA">
        <w:rPr>
          <w:lang w:val="en-AU"/>
        </w:rPr>
        <w:t xml:space="preserve">those that argue that the </w:t>
      </w:r>
      <w:r w:rsidR="00253EDA">
        <w:rPr>
          <w:i/>
          <w:iCs/>
          <w:lang w:val="en-AU"/>
        </w:rPr>
        <w:t>Viss Vang</w:t>
      </w:r>
      <w:r w:rsidR="00253EDA">
        <w:rPr>
          <w:lang w:val="en-AU"/>
        </w:rPr>
        <w:t xml:space="preserve"> is simply the “thin end of the wedge”</w:t>
      </w:r>
      <w:r>
        <w:rPr>
          <w:lang w:val="en-AU"/>
        </w:rPr>
        <w:t>.  Even though it may not have a particularly material surface area and, therefore, driving force,</w:t>
      </w:r>
      <w:r w:rsidR="00253EDA">
        <w:rPr>
          <w:lang w:val="en-AU"/>
        </w:rPr>
        <w:t xml:space="preserve"> some sort of vang arms race will </w:t>
      </w:r>
      <w:r>
        <w:rPr>
          <w:lang w:val="en-AU"/>
        </w:rPr>
        <w:t>break out</w:t>
      </w:r>
      <w:r w:rsidR="00253EDA">
        <w:rPr>
          <w:lang w:val="en-AU"/>
        </w:rPr>
        <w:t xml:space="preserve"> with ever larger and more fanciful vangs being used to add to sail area </w:t>
      </w:r>
      <w:r>
        <w:rPr>
          <w:lang w:val="en-AU"/>
        </w:rPr>
        <w:t>under the boom.  T</w:t>
      </w:r>
      <w:r w:rsidR="00253EDA">
        <w:rPr>
          <w:lang w:val="en-AU"/>
        </w:rPr>
        <w:t xml:space="preserve">his </w:t>
      </w:r>
      <w:r>
        <w:rPr>
          <w:lang w:val="en-AU"/>
        </w:rPr>
        <w:t xml:space="preserve">notion </w:t>
      </w:r>
      <w:r w:rsidR="00253EDA">
        <w:rPr>
          <w:lang w:val="en-AU"/>
        </w:rPr>
        <w:t>was indeed a stated purpose behind the 2024 Rule Amendment.</w:t>
      </w:r>
      <w:r>
        <w:rPr>
          <w:lang w:val="en-AU"/>
        </w:rPr>
        <w:t xml:space="preserve">  </w:t>
      </w:r>
    </w:p>
    <w:p w14:paraId="697F1204" w14:textId="77777777" w:rsidR="00314445" w:rsidRDefault="00314445" w:rsidP="002D628B">
      <w:pPr>
        <w:tabs>
          <w:tab w:val="left" w:pos="6096"/>
        </w:tabs>
        <w:rPr>
          <w:lang w:val="en-AU"/>
        </w:rPr>
      </w:pPr>
    </w:p>
    <w:p w14:paraId="0C875E43" w14:textId="6AD172B2" w:rsidR="00813687" w:rsidRDefault="00813687" w:rsidP="002D628B">
      <w:pPr>
        <w:tabs>
          <w:tab w:val="left" w:pos="6096"/>
        </w:tabs>
        <w:rPr>
          <w:lang w:val="en-AU"/>
        </w:rPr>
      </w:pPr>
      <w:r>
        <w:rPr>
          <w:lang w:val="en-AU"/>
        </w:rPr>
        <w:t xml:space="preserve">If not sail area, there are those that argue that these excessively large vangs could be used to create an end-plate effect.  </w:t>
      </w:r>
      <w:r w:rsidR="00314445">
        <w:rPr>
          <w:lang w:val="en-AU"/>
        </w:rPr>
        <w:t xml:space="preserve">It does need to be said that </w:t>
      </w:r>
      <w:r>
        <w:rPr>
          <w:lang w:val="en-AU"/>
        </w:rPr>
        <w:t xml:space="preserve">there </w:t>
      </w:r>
      <w:r w:rsidR="00314445">
        <w:rPr>
          <w:lang w:val="en-AU"/>
        </w:rPr>
        <w:t>is a</w:t>
      </w:r>
      <w:r>
        <w:rPr>
          <w:lang w:val="en-AU"/>
        </w:rPr>
        <w:t xml:space="preserve"> design trend towards lowering the rig and raising the deck to create a “deck sweeping” sail (or the closest </w:t>
      </w:r>
      <w:r w:rsidR="00314445">
        <w:rPr>
          <w:lang w:val="en-AU"/>
        </w:rPr>
        <w:t>an IOM allows) which offers a far more straightforward method of achieving an end-plate effect than using overside vang shapes (to the extent that such a thing is even possible in an IOM class boat).</w:t>
      </w:r>
    </w:p>
    <w:p w14:paraId="56E3F363" w14:textId="77777777" w:rsidR="00314445" w:rsidRDefault="00314445" w:rsidP="002D628B">
      <w:pPr>
        <w:tabs>
          <w:tab w:val="left" w:pos="6096"/>
        </w:tabs>
        <w:rPr>
          <w:lang w:val="en-AU"/>
        </w:rPr>
      </w:pPr>
    </w:p>
    <w:p w14:paraId="3C8D9038" w14:textId="32A84CBD" w:rsidR="00D41AB0" w:rsidRDefault="00D41AB0" w:rsidP="002D628B">
      <w:pPr>
        <w:tabs>
          <w:tab w:val="left" w:pos="6096"/>
        </w:tabs>
        <w:rPr>
          <w:lang w:val="en-AU"/>
        </w:rPr>
      </w:pPr>
      <w:r>
        <w:rPr>
          <w:lang w:val="en-AU"/>
        </w:rPr>
        <w:t>Finally, the increasing adoption of 3D Printing (in particular, F</w:t>
      </w:r>
      <w:r w:rsidRPr="00D41AB0">
        <w:rPr>
          <w:lang w:val="en-AU"/>
        </w:rPr>
        <w:t>DM (Fused Deposition Mode</w:t>
      </w:r>
      <w:r>
        <w:rPr>
          <w:lang w:val="en-AU"/>
        </w:rPr>
        <w:t>l</w:t>
      </w:r>
      <w:r w:rsidRPr="00D41AB0">
        <w:rPr>
          <w:lang w:val="en-AU"/>
        </w:rPr>
        <w:t>ling) technology</w:t>
      </w:r>
      <w:r>
        <w:rPr>
          <w:lang w:val="en-AU"/>
        </w:rPr>
        <w:t>), along with the ever-widening array of raw materials available, does mean that increasing numbers of builders (whether commercial or home) are creating fittings using 3D Printing.  Of necessity, these 3D printed parts tend to be larger than those created using metal forming techniques due to the differences in strength of the materials.  This does suggest that sensitivities around the size of fittings are likely to be tested further in the future.</w:t>
      </w:r>
    </w:p>
    <w:p w14:paraId="5C8C01FA" w14:textId="77777777" w:rsidR="00D41AB0" w:rsidRDefault="00D41AB0" w:rsidP="002D628B">
      <w:pPr>
        <w:tabs>
          <w:tab w:val="left" w:pos="6096"/>
        </w:tabs>
        <w:rPr>
          <w:lang w:val="en-AU"/>
        </w:rPr>
      </w:pPr>
    </w:p>
    <w:p w14:paraId="0F036554" w14:textId="0F621D36" w:rsidR="00314445" w:rsidRDefault="00DD4FEF" w:rsidP="00DD4FEF">
      <w:pPr>
        <w:pStyle w:val="Heading2"/>
        <w:rPr>
          <w:lang w:val="en-AU"/>
        </w:rPr>
      </w:pPr>
      <w:r>
        <w:rPr>
          <w:lang w:val="en-AU"/>
        </w:rPr>
        <w:t>The Way Forward</w:t>
      </w:r>
    </w:p>
    <w:p w14:paraId="5805EF6D" w14:textId="77777777" w:rsidR="00DD4FEF" w:rsidRDefault="00DD4FEF" w:rsidP="00DD4FEF">
      <w:pPr>
        <w:rPr>
          <w:lang w:val="en-AU"/>
        </w:rPr>
      </w:pPr>
    </w:p>
    <w:p w14:paraId="3BBEE9AC" w14:textId="7FFD57B0" w:rsidR="00DD4FEF" w:rsidRDefault="00D94B0A" w:rsidP="00DD4FEF">
      <w:pPr>
        <w:rPr>
          <w:lang w:val="en-AU"/>
        </w:rPr>
      </w:pPr>
      <w:r>
        <w:rPr>
          <w:lang w:val="en-AU"/>
        </w:rPr>
        <w:t>Noting that “do nothing” is not an acceptable option, t</w:t>
      </w:r>
      <w:r w:rsidR="00DD4FEF">
        <w:rPr>
          <w:lang w:val="en-AU"/>
        </w:rPr>
        <w:t>here are two t</w:t>
      </w:r>
      <w:r w:rsidR="00166576">
        <w:rPr>
          <w:lang w:val="en-AU"/>
        </w:rPr>
        <w:t>ypes of pathways that could be followed:</w:t>
      </w:r>
    </w:p>
    <w:p w14:paraId="29AA9AFB" w14:textId="77777777" w:rsidR="00166576" w:rsidRDefault="00166576" w:rsidP="00DD4FEF">
      <w:pPr>
        <w:rPr>
          <w:lang w:val="en-AU"/>
        </w:rPr>
      </w:pPr>
    </w:p>
    <w:p w14:paraId="08EBB14A" w14:textId="37234D7D" w:rsidR="00166576" w:rsidRPr="00166576" w:rsidRDefault="00166576" w:rsidP="00166576">
      <w:pPr>
        <w:pStyle w:val="ListParagraph"/>
        <w:numPr>
          <w:ilvl w:val="0"/>
          <w:numId w:val="9"/>
        </w:numPr>
        <w:rPr>
          <w:lang w:val="en-AU"/>
        </w:rPr>
      </w:pPr>
      <w:r>
        <w:rPr>
          <w:lang w:val="en-AU"/>
        </w:rPr>
        <w:t>Make no rule change.  Issue a Q&amp;A that clarifies that either:</w:t>
      </w:r>
    </w:p>
    <w:p w14:paraId="36F18D39" w14:textId="3E9D212B" w:rsidR="00DD4FEF" w:rsidRPr="00166576" w:rsidRDefault="00DD4FEF" w:rsidP="00166576">
      <w:pPr>
        <w:pStyle w:val="ListParagraph"/>
        <w:numPr>
          <w:ilvl w:val="1"/>
          <w:numId w:val="9"/>
        </w:numPr>
        <w:tabs>
          <w:tab w:val="left" w:pos="6096"/>
        </w:tabs>
        <w:rPr>
          <w:lang w:val="en-AU"/>
        </w:rPr>
      </w:pPr>
      <w:r w:rsidRPr="00166576">
        <w:rPr>
          <w:lang w:val="en-AU"/>
        </w:rPr>
        <w:t xml:space="preserve">Rule F.2.3 is a limiting rule and the </w:t>
      </w:r>
      <w:r w:rsidRPr="00166576">
        <w:rPr>
          <w:i/>
          <w:iCs/>
          <w:lang w:val="en-AU"/>
        </w:rPr>
        <w:t>Viss Vang</w:t>
      </w:r>
      <w:r w:rsidRPr="00166576">
        <w:rPr>
          <w:lang w:val="en-AU"/>
        </w:rPr>
        <w:t xml:space="preserve"> is on the wrong side of that limit.  No grandfathering of </w:t>
      </w:r>
      <w:r w:rsidRPr="00166576">
        <w:rPr>
          <w:i/>
          <w:iCs/>
          <w:lang w:val="en-AU"/>
        </w:rPr>
        <w:t>Viss Vangs</w:t>
      </w:r>
      <w:r w:rsidRPr="00166576">
        <w:rPr>
          <w:lang w:val="en-AU"/>
        </w:rPr>
        <w:t xml:space="preserve"> would be appropriate as the rules have never allowed them. </w:t>
      </w:r>
    </w:p>
    <w:p w14:paraId="623E7B5E" w14:textId="71D3360A" w:rsidR="00314445" w:rsidRPr="00166576" w:rsidRDefault="00DD4FEF" w:rsidP="00166576">
      <w:pPr>
        <w:pStyle w:val="ListParagraph"/>
        <w:numPr>
          <w:ilvl w:val="1"/>
          <w:numId w:val="9"/>
        </w:numPr>
        <w:tabs>
          <w:tab w:val="left" w:pos="6096"/>
        </w:tabs>
        <w:rPr>
          <w:lang w:val="en-AU"/>
        </w:rPr>
      </w:pPr>
      <w:r w:rsidRPr="00166576">
        <w:rPr>
          <w:lang w:val="en-AU"/>
        </w:rPr>
        <w:t xml:space="preserve">Rule F.2.3 is a limiting rule but that the surface area of a </w:t>
      </w:r>
      <w:r w:rsidRPr="00166576">
        <w:rPr>
          <w:i/>
          <w:iCs/>
          <w:lang w:val="en-AU"/>
        </w:rPr>
        <w:t>Viss Vang</w:t>
      </w:r>
      <w:r w:rsidRPr="00166576">
        <w:rPr>
          <w:lang w:val="en-AU"/>
        </w:rPr>
        <w:t xml:space="preserve"> (or any other vang that one can imagine) does not create a material driving force for the purposes of viewing it as an additional function for the item.  Exactly what purpose F.2.3 would then serve is an interesting question.</w:t>
      </w:r>
    </w:p>
    <w:p w14:paraId="559CAB35" w14:textId="17B4F2AB" w:rsidR="00DD4FEF" w:rsidRPr="00166576" w:rsidRDefault="00166576" w:rsidP="00166576">
      <w:pPr>
        <w:pStyle w:val="ListParagraph"/>
        <w:numPr>
          <w:ilvl w:val="0"/>
          <w:numId w:val="9"/>
        </w:numPr>
        <w:tabs>
          <w:tab w:val="left" w:pos="6096"/>
        </w:tabs>
        <w:rPr>
          <w:lang w:val="en-AU"/>
        </w:rPr>
      </w:pPr>
      <w:r>
        <w:rPr>
          <w:lang w:val="en-AU"/>
        </w:rPr>
        <w:t>Attempt a rule change via the AGM.  For example:</w:t>
      </w:r>
    </w:p>
    <w:p w14:paraId="7E43B4EC" w14:textId="67CF7D15" w:rsidR="00DD4FEF" w:rsidRPr="00166576" w:rsidRDefault="00166576" w:rsidP="00166576">
      <w:pPr>
        <w:pStyle w:val="ListParagraph"/>
        <w:numPr>
          <w:ilvl w:val="1"/>
          <w:numId w:val="9"/>
        </w:numPr>
        <w:tabs>
          <w:tab w:val="left" w:pos="6096"/>
        </w:tabs>
        <w:rPr>
          <w:lang w:val="en-AU"/>
        </w:rPr>
      </w:pPr>
      <w:r>
        <w:rPr>
          <w:lang w:val="en-AU"/>
        </w:rPr>
        <w:t>A</w:t>
      </w:r>
      <w:r w:rsidR="00DD4FEF" w:rsidRPr="00166576">
        <w:rPr>
          <w:lang w:val="en-AU"/>
        </w:rPr>
        <w:t xml:space="preserve"> quantitative rule amendment – for example, </w:t>
      </w:r>
      <w:r>
        <w:rPr>
          <w:lang w:val="en-AU"/>
        </w:rPr>
        <w:t xml:space="preserve">the vang </w:t>
      </w:r>
      <w:r w:rsidR="00DD4FEF" w:rsidRPr="00166576">
        <w:rPr>
          <w:lang w:val="en-AU"/>
        </w:rPr>
        <w:t>must pass through a 20mm ring gauge, or boom vang fitting must be no more than 100mm from the rear of the mast, or surface area must be less than 2000 sq mm.</w:t>
      </w:r>
    </w:p>
    <w:p w14:paraId="55878F7D" w14:textId="3C1E5540" w:rsidR="00DD4FEF" w:rsidRPr="00166576" w:rsidRDefault="00166576" w:rsidP="00166576">
      <w:pPr>
        <w:pStyle w:val="ListParagraph"/>
        <w:numPr>
          <w:ilvl w:val="1"/>
          <w:numId w:val="9"/>
        </w:numPr>
        <w:tabs>
          <w:tab w:val="left" w:pos="6096"/>
        </w:tabs>
        <w:rPr>
          <w:lang w:val="en-AU"/>
        </w:rPr>
      </w:pPr>
      <w:r>
        <w:rPr>
          <w:lang w:val="en-AU"/>
        </w:rPr>
        <w:lastRenderedPageBreak/>
        <w:t>A</w:t>
      </w:r>
      <w:r w:rsidR="00DD4FEF" w:rsidRPr="00166576">
        <w:rPr>
          <w:lang w:val="en-AU"/>
        </w:rPr>
        <w:t xml:space="preserve"> qualitative rule amendment in the form of the Marblehead or 10 Rater rules – for example “fittings must be no larger than is reasonably required for their purpose”</w:t>
      </w:r>
    </w:p>
    <w:p w14:paraId="0670E275" w14:textId="77777777" w:rsidR="00DD4FEF" w:rsidRDefault="00DD4FEF" w:rsidP="002D628B">
      <w:pPr>
        <w:tabs>
          <w:tab w:val="left" w:pos="6096"/>
        </w:tabs>
        <w:rPr>
          <w:lang w:val="en-AU"/>
        </w:rPr>
      </w:pPr>
    </w:p>
    <w:p w14:paraId="07B44A45" w14:textId="61C49EAC" w:rsidR="00D41AB0" w:rsidRDefault="00D41AB0" w:rsidP="002D628B">
      <w:pPr>
        <w:tabs>
          <w:tab w:val="left" w:pos="6096"/>
        </w:tabs>
        <w:rPr>
          <w:lang w:val="en-AU"/>
        </w:rPr>
      </w:pPr>
      <w:r>
        <w:rPr>
          <w:lang w:val="en-AU"/>
        </w:rPr>
        <w:t xml:space="preserve">While the IOMICA Constitution does not appear to prevent the same amendment to the Class Rules being put to multiple, successive World Council meetings to obtain the necessary votes for it to be adopted, it does not appear to be a sound strategy without understanding the reasons for its rejection in the first place.  While this does not rule out Option 2 from above, it does mean that caution will need to be exercised. </w:t>
      </w:r>
    </w:p>
    <w:p w14:paraId="4E55B9C2" w14:textId="77777777" w:rsidR="00D41AB0" w:rsidRDefault="00D41AB0" w:rsidP="002D628B">
      <w:pPr>
        <w:tabs>
          <w:tab w:val="left" w:pos="6096"/>
        </w:tabs>
        <w:rPr>
          <w:lang w:val="en-AU"/>
        </w:rPr>
      </w:pPr>
    </w:p>
    <w:p w14:paraId="5786B9F6" w14:textId="72816C1F" w:rsidR="00166576" w:rsidRDefault="00166576" w:rsidP="002D628B">
      <w:pPr>
        <w:tabs>
          <w:tab w:val="left" w:pos="6096"/>
        </w:tabs>
        <w:rPr>
          <w:lang w:val="en-AU"/>
        </w:rPr>
      </w:pPr>
      <w:r>
        <w:rPr>
          <w:lang w:val="en-AU"/>
        </w:rPr>
        <w:t>Understanding the preferences of IOM Owners in making this decision is critical.</w:t>
      </w:r>
    </w:p>
    <w:p w14:paraId="490B1270" w14:textId="77777777" w:rsidR="009275A9" w:rsidRDefault="009275A9" w:rsidP="002D628B">
      <w:pPr>
        <w:tabs>
          <w:tab w:val="left" w:pos="6096"/>
        </w:tabs>
        <w:rPr>
          <w:lang w:val="en-AU"/>
        </w:rPr>
      </w:pPr>
    </w:p>
    <w:p w14:paraId="38544D0B" w14:textId="77777777" w:rsidR="009275A9" w:rsidRDefault="009275A9" w:rsidP="002D628B">
      <w:pPr>
        <w:tabs>
          <w:tab w:val="left" w:pos="6096"/>
        </w:tabs>
        <w:rPr>
          <w:lang w:val="en-AU"/>
        </w:rPr>
      </w:pPr>
    </w:p>
    <w:p w14:paraId="4CE69FFE" w14:textId="23F8CC9A" w:rsidR="009275A9" w:rsidRDefault="009275A9" w:rsidP="002D628B">
      <w:pPr>
        <w:tabs>
          <w:tab w:val="left" w:pos="6096"/>
        </w:tabs>
        <w:rPr>
          <w:lang w:val="en-AU"/>
        </w:rPr>
      </w:pPr>
      <w:r>
        <w:rPr>
          <w:lang w:val="en-AU"/>
        </w:rPr>
        <w:t>Andrew Crocker</w:t>
      </w:r>
    </w:p>
    <w:p w14:paraId="6AAE1478" w14:textId="4F5CF8CF" w:rsidR="009275A9" w:rsidRDefault="009275A9" w:rsidP="002D628B">
      <w:pPr>
        <w:tabs>
          <w:tab w:val="left" w:pos="6096"/>
        </w:tabs>
        <w:rPr>
          <w:lang w:val="en-AU"/>
        </w:rPr>
      </w:pPr>
      <w:r>
        <w:rPr>
          <w:lang w:val="en-AU"/>
        </w:rPr>
        <w:t>Vice Chair Technical, IOMICA</w:t>
      </w:r>
    </w:p>
    <w:p w14:paraId="7B87A5C3" w14:textId="77847940" w:rsidR="009275A9" w:rsidRDefault="009275A9" w:rsidP="002D628B">
      <w:pPr>
        <w:tabs>
          <w:tab w:val="left" w:pos="6096"/>
        </w:tabs>
        <w:rPr>
          <w:lang w:val="en-AU"/>
        </w:rPr>
      </w:pPr>
      <w:r>
        <w:rPr>
          <w:lang w:val="en-AU"/>
        </w:rPr>
        <w:t>January 2026.</w:t>
      </w:r>
    </w:p>
    <w:sectPr w:rsidR="009275A9" w:rsidSect="00950744">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780511" w14:textId="77777777" w:rsidR="005A0F6F" w:rsidRDefault="005A0F6F" w:rsidP="00FD162A">
      <w:r>
        <w:separator/>
      </w:r>
    </w:p>
  </w:endnote>
  <w:endnote w:type="continuationSeparator" w:id="0">
    <w:p w14:paraId="1B5427FF" w14:textId="77777777" w:rsidR="005A0F6F" w:rsidRDefault="005A0F6F" w:rsidP="00FD16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775B47" w14:textId="77777777" w:rsidR="005A0F6F" w:rsidRDefault="005A0F6F" w:rsidP="00FD162A">
      <w:r>
        <w:separator/>
      </w:r>
    </w:p>
  </w:footnote>
  <w:footnote w:type="continuationSeparator" w:id="0">
    <w:p w14:paraId="57ED625C" w14:textId="77777777" w:rsidR="005A0F6F" w:rsidRDefault="005A0F6F" w:rsidP="00FD162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E08E1"/>
    <w:multiLevelType w:val="hybridMultilevel"/>
    <w:tmpl w:val="838AD8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12B3457"/>
    <w:multiLevelType w:val="hybridMultilevel"/>
    <w:tmpl w:val="57CCC1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7187FEF"/>
    <w:multiLevelType w:val="hybridMultilevel"/>
    <w:tmpl w:val="13A06954"/>
    <w:lvl w:ilvl="0" w:tplc="F3C43232">
      <w:start w:val="1"/>
      <w:numFmt w:val="lowerLetter"/>
      <w:lvlText w:val="(%1)"/>
      <w:lvlJc w:val="lef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 w15:restartNumberingAfterBreak="0">
    <w:nsid w:val="395F251B"/>
    <w:multiLevelType w:val="hybridMultilevel"/>
    <w:tmpl w:val="1F30F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43B18E0"/>
    <w:multiLevelType w:val="hybridMultilevel"/>
    <w:tmpl w:val="1CEE410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15:restartNumberingAfterBreak="0">
    <w:nsid w:val="5A57046A"/>
    <w:multiLevelType w:val="hybridMultilevel"/>
    <w:tmpl w:val="F5BA8A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6AF0439"/>
    <w:multiLevelType w:val="hybridMultilevel"/>
    <w:tmpl w:val="542A3C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82821A2"/>
    <w:multiLevelType w:val="hybridMultilevel"/>
    <w:tmpl w:val="422053B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06C36CA"/>
    <w:multiLevelType w:val="hybridMultilevel"/>
    <w:tmpl w:val="7A5A5F18"/>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74814CA8"/>
    <w:multiLevelType w:val="hybridMultilevel"/>
    <w:tmpl w:val="5A980AF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76046335">
    <w:abstractNumId w:val="6"/>
  </w:num>
  <w:num w:numId="2" w16cid:durableId="512769230">
    <w:abstractNumId w:val="5"/>
  </w:num>
  <w:num w:numId="3" w16cid:durableId="723220282">
    <w:abstractNumId w:val="8"/>
  </w:num>
  <w:num w:numId="4" w16cid:durableId="1546285188">
    <w:abstractNumId w:val="3"/>
  </w:num>
  <w:num w:numId="5" w16cid:durableId="1097141745">
    <w:abstractNumId w:val="2"/>
  </w:num>
  <w:num w:numId="6" w16cid:durableId="439497767">
    <w:abstractNumId w:val="7"/>
  </w:num>
  <w:num w:numId="7" w16cid:durableId="170336885">
    <w:abstractNumId w:val="1"/>
  </w:num>
  <w:num w:numId="8" w16cid:durableId="718750046">
    <w:abstractNumId w:val="0"/>
  </w:num>
  <w:num w:numId="9" w16cid:durableId="1100444899">
    <w:abstractNumId w:val="9"/>
  </w:num>
  <w:num w:numId="10" w16cid:durableId="20054700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1911"/>
    <w:rsid w:val="00062F91"/>
    <w:rsid w:val="0007324F"/>
    <w:rsid w:val="00082C8F"/>
    <w:rsid w:val="00094A6C"/>
    <w:rsid w:val="00166576"/>
    <w:rsid w:val="001929D0"/>
    <w:rsid w:val="001953F2"/>
    <w:rsid w:val="001C23DC"/>
    <w:rsid w:val="001F5F6B"/>
    <w:rsid w:val="00253EDA"/>
    <w:rsid w:val="002D628B"/>
    <w:rsid w:val="002D7777"/>
    <w:rsid w:val="00314445"/>
    <w:rsid w:val="00324E47"/>
    <w:rsid w:val="003773D2"/>
    <w:rsid w:val="003A0887"/>
    <w:rsid w:val="003E0946"/>
    <w:rsid w:val="00413DBE"/>
    <w:rsid w:val="004841BB"/>
    <w:rsid w:val="004D0FF3"/>
    <w:rsid w:val="005344C4"/>
    <w:rsid w:val="00580C8A"/>
    <w:rsid w:val="005A0F6F"/>
    <w:rsid w:val="005A7940"/>
    <w:rsid w:val="005C2C6F"/>
    <w:rsid w:val="00625825"/>
    <w:rsid w:val="00661003"/>
    <w:rsid w:val="00697FCF"/>
    <w:rsid w:val="006C3E35"/>
    <w:rsid w:val="006F179E"/>
    <w:rsid w:val="0078332A"/>
    <w:rsid w:val="007A37FB"/>
    <w:rsid w:val="007F53D6"/>
    <w:rsid w:val="00811911"/>
    <w:rsid w:val="00813687"/>
    <w:rsid w:val="008152D2"/>
    <w:rsid w:val="00860814"/>
    <w:rsid w:val="008840FC"/>
    <w:rsid w:val="008B2FAB"/>
    <w:rsid w:val="008E0316"/>
    <w:rsid w:val="008F0CE9"/>
    <w:rsid w:val="009275A9"/>
    <w:rsid w:val="00950744"/>
    <w:rsid w:val="00A20481"/>
    <w:rsid w:val="00A41191"/>
    <w:rsid w:val="00AF5510"/>
    <w:rsid w:val="00B155C2"/>
    <w:rsid w:val="00B47D85"/>
    <w:rsid w:val="00B643A9"/>
    <w:rsid w:val="00B81EC9"/>
    <w:rsid w:val="00D41AB0"/>
    <w:rsid w:val="00D45644"/>
    <w:rsid w:val="00D822BB"/>
    <w:rsid w:val="00D94B0A"/>
    <w:rsid w:val="00DD4FEF"/>
    <w:rsid w:val="00DF3057"/>
    <w:rsid w:val="00E13C8B"/>
    <w:rsid w:val="00E43922"/>
    <w:rsid w:val="00E73427"/>
    <w:rsid w:val="00E87AEB"/>
    <w:rsid w:val="00EA02F7"/>
    <w:rsid w:val="00F25286"/>
    <w:rsid w:val="00FB0DD5"/>
    <w:rsid w:val="00FB1FAA"/>
    <w:rsid w:val="00FD162A"/>
    <w:rsid w:val="00FD33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18C59F5"/>
  <w14:defaultImageDpi w14:val="32767"/>
  <w15:chartTrackingRefBased/>
  <w15:docId w15:val="{7D704A7B-68E5-DA4D-B346-BF06AEB23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1191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1191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1191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1191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1191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1191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1191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1191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1191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191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81191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1191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1191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1191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1191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1191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1191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11911"/>
    <w:rPr>
      <w:rFonts w:eastAsiaTheme="majorEastAsia" w:cstheme="majorBidi"/>
      <w:color w:val="272727" w:themeColor="text1" w:themeTint="D8"/>
    </w:rPr>
  </w:style>
  <w:style w:type="paragraph" w:styleId="Title">
    <w:name w:val="Title"/>
    <w:basedOn w:val="Normal"/>
    <w:next w:val="Normal"/>
    <w:link w:val="TitleChar"/>
    <w:uiPriority w:val="10"/>
    <w:qFormat/>
    <w:rsid w:val="0081191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1191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11911"/>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1191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1191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811911"/>
    <w:rPr>
      <w:i/>
      <w:iCs/>
      <w:color w:val="404040" w:themeColor="text1" w:themeTint="BF"/>
    </w:rPr>
  </w:style>
  <w:style w:type="paragraph" w:styleId="ListParagraph">
    <w:name w:val="List Paragraph"/>
    <w:basedOn w:val="Normal"/>
    <w:uiPriority w:val="34"/>
    <w:qFormat/>
    <w:rsid w:val="00811911"/>
    <w:pPr>
      <w:ind w:left="720"/>
      <w:contextualSpacing/>
    </w:pPr>
  </w:style>
  <w:style w:type="character" w:styleId="IntenseEmphasis">
    <w:name w:val="Intense Emphasis"/>
    <w:basedOn w:val="DefaultParagraphFont"/>
    <w:uiPriority w:val="21"/>
    <w:qFormat/>
    <w:rsid w:val="00811911"/>
    <w:rPr>
      <w:i/>
      <w:iCs/>
      <w:color w:val="0F4761" w:themeColor="accent1" w:themeShade="BF"/>
    </w:rPr>
  </w:style>
  <w:style w:type="paragraph" w:styleId="IntenseQuote">
    <w:name w:val="Intense Quote"/>
    <w:basedOn w:val="Normal"/>
    <w:next w:val="Normal"/>
    <w:link w:val="IntenseQuoteChar"/>
    <w:uiPriority w:val="30"/>
    <w:qFormat/>
    <w:rsid w:val="0081191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11911"/>
    <w:rPr>
      <w:i/>
      <w:iCs/>
      <w:color w:val="0F4761" w:themeColor="accent1" w:themeShade="BF"/>
    </w:rPr>
  </w:style>
  <w:style w:type="character" w:styleId="IntenseReference">
    <w:name w:val="Intense Reference"/>
    <w:basedOn w:val="DefaultParagraphFont"/>
    <w:uiPriority w:val="32"/>
    <w:qFormat/>
    <w:rsid w:val="00811911"/>
    <w:rPr>
      <w:b/>
      <w:bCs/>
      <w:smallCaps/>
      <w:color w:val="0F4761" w:themeColor="accent1" w:themeShade="BF"/>
      <w:spacing w:val="5"/>
    </w:rPr>
  </w:style>
  <w:style w:type="paragraph" w:styleId="Header">
    <w:name w:val="header"/>
    <w:basedOn w:val="Normal"/>
    <w:link w:val="HeaderChar"/>
    <w:uiPriority w:val="99"/>
    <w:unhideWhenUsed/>
    <w:rsid w:val="00FD162A"/>
    <w:pPr>
      <w:tabs>
        <w:tab w:val="center" w:pos="4513"/>
        <w:tab w:val="right" w:pos="9026"/>
      </w:tabs>
    </w:pPr>
  </w:style>
  <w:style w:type="character" w:customStyle="1" w:styleId="HeaderChar">
    <w:name w:val="Header Char"/>
    <w:basedOn w:val="DefaultParagraphFont"/>
    <w:link w:val="Header"/>
    <w:uiPriority w:val="99"/>
    <w:rsid w:val="00FD162A"/>
  </w:style>
  <w:style w:type="paragraph" w:styleId="Footer">
    <w:name w:val="footer"/>
    <w:basedOn w:val="Normal"/>
    <w:link w:val="FooterChar"/>
    <w:uiPriority w:val="99"/>
    <w:unhideWhenUsed/>
    <w:rsid w:val="00FD162A"/>
    <w:pPr>
      <w:tabs>
        <w:tab w:val="center" w:pos="4513"/>
        <w:tab w:val="right" w:pos="9026"/>
      </w:tabs>
    </w:pPr>
  </w:style>
  <w:style w:type="character" w:customStyle="1" w:styleId="FooterChar">
    <w:name w:val="Footer Char"/>
    <w:basedOn w:val="DefaultParagraphFont"/>
    <w:link w:val="Footer"/>
    <w:uiPriority w:val="99"/>
    <w:rsid w:val="00FD162A"/>
  </w:style>
  <w:style w:type="paragraph" w:customStyle="1" w:styleId="p1">
    <w:name w:val="p1"/>
    <w:basedOn w:val="Normal"/>
    <w:rsid w:val="00FD162A"/>
    <w:rPr>
      <w:rFonts w:ascii="Arial" w:eastAsia="Times New Roman" w:hAnsi="Arial" w:cs="Arial"/>
      <w:color w:val="000000"/>
      <w:kern w:val="0"/>
      <w:sz w:val="15"/>
      <w:szCs w:val="15"/>
      <w:lang w:val="en-AU" w:eastAsia="en-GB"/>
      <w14:ligatures w14:val="none"/>
    </w:rPr>
  </w:style>
  <w:style w:type="paragraph" w:styleId="Caption">
    <w:name w:val="caption"/>
    <w:basedOn w:val="Normal"/>
    <w:next w:val="Normal"/>
    <w:uiPriority w:val="35"/>
    <w:unhideWhenUsed/>
    <w:qFormat/>
    <w:rsid w:val="001C23DC"/>
    <w:pPr>
      <w:spacing w:after="200"/>
    </w:pPr>
    <w:rPr>
      <w:i/>
      <w:iCs/>
      <w:color w:val="0E2841" w:themeColor="text2"/>
      <w:sz w:val="18"/>
      <w:szCs w:val="18"/>
    </w:rPr>
  </w:style>
  <w:style w:type="character" w:customStyle="1" w:styleId="apple-converted-space">
    <w:name w:val="apple-converted-space"/>
    <w:basedOn w:val="DefaultParagraphFont"/>
    <w:rsid w:val="00D41A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2404194">
      <w:bodyDiv w:val="1"/>
      <w:marLeft w:val="0"/>
      <w:marRight w:val="0"/>
      <w:marTop w:val="0"/>
      <w:marBottom w:val="0"/>
      <w:divBdr>
        <w:top w:val="none" w:sz="0" w:space="0" w:color="auto"/>
        <w:left w:val="none" w:sz="0" w:space="0" w:color="auto"/>
        <w:bottom w:val="none" w:sz="0" w:space="0" w:color="auto"/>
        <w:right w:val="none" w:sz="0" w:space="0" w:color="auto"/>
      </w:divBdr>
    </w:div>
    <w:div w:id="1616907334">
      <w:bodyDiv w:val="1"/>
      <w:marLeft w:val="0"/>
      <w:marRight w:val="0"/>
      <w:marTop w:val="0"/>
      <w:marBottom w:val="0"/>
      <w:divBdr>
        <w:top w:val="none" w:sz="0" w:space="0" w:color="auto"/>
        <w:left w:val="none" w:sz="0" w:space="0" w:color="auto"/>
        <w:bottom w:val="none" w:sz="0" w:space="0" w:color="auto"/>
        <w:right w:val="none" w:sz="0" w:space="0" w:color="auto"/>
      </w:divBdr>
    </w:div>
    <w:div w:id="1802654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7</Pages>
  <Words>2045</Words>
  <Characters>11660</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Crocker</dc:creator>
  <cp:keywords/>
  <dc:description/>
  <cp:lastModifiedBy>Andrew Crocker</cp:lastModifiedBy>
  <cp:revision>3</cp:revision>
  <dcterms:created xsi:type="dcterms:W3CDTF">2026-01-14T22:43:00Z</dcterms:created>
  <dcterms:modified xsi:type="dcterms:W3CDTF">2026-01-14T22:45:00Z</dcterms:modified>
</cp:coreProperties>
</file>