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lledutableau"/>
        <w:tblW w:w="14312" w:type="dxa"/>
        <w:tblInd w:w="-714" w:type="dxa"/>
        <w:tblLook w:val="04A0" w:firstRow="1" w:lastRow="0" w:firstColumn="1" w:lastColumn="0" w:noHBand="0" w:noVBand="1"/>
      </w:tblPr>
      <w:tblGrid>
        <w:gridCol w:w="2485"/>
        <w:gridCol w:w="3580"/>
        <w:gridCol w:w="8247"/>
      </w:tblGrid>
      <w:tr w:rsidR="00E86693" w14:paraId="667DB066" w14:textId="77777777" w:rsidTr="0007464D">
        <w:tc>
          <w:tcPr>
            <w:tcW w:w="2485" w:type="dxa"/>
          </w:tcPr>
          <w:p w14:paraId="08B3BFAB" w14:textId="77777777" w:rsidR="00E86693" w:rsidRPr="00793E68" w:rsidRDefault="00E86693" w:rsidP="00092AB7">
            <w:pPr>
              <w:ind w:firstLine="316"/>
              <w:rPr>
                <w:b/>
                <w:bCs/>
                <w:sz w:val="28"/>
                <w:szCs w:val="28"/>
              </w:rPr>
            </w:pPr>
            <w:r w:rsidRPr="00793E68">
              <w:rPr>
                <w:b/>
                <w:bCs/>
                <w:sz w:val="28"/>
                <w:szCs w:val="28"/>
              </w:rPr>
              <w:t>Submission</w:t>
            </w:r>
          </w:p>
        </w:tc>
        <w:tc>
          <w:tcPr>
            <w:tcW w:w="3580" w:type="dxa"/>
          </w:tcPr>
          <w:p w14:paraId="72CCACC7" w14:textId="77777777" w:rsidR="00E86693" w:rsidRPr="00793E68" w:rsidRDefault="00E86693" w:rsidP="00092AB7">
            <w:pPr>
              <w:ind w:firstLine="316"/>
              <w:rPr>
                <w:b/>
                <w:bCs/>
                <w:sz w:val="28"/>
                <w:szCs w:val="28"/>
              </w:rPr>
            </w:pPr>
            <w:r w:rsidRPr="00793E68">
              <w:rPr>
                <w:b/>
                <w:bCs/>
                <w:sz w:val="28"/>
                <w:szCs w:val="28"/>
              </w:rPr>
              <w:t>Description</w:t>
            </w:r>
          </w:p>
        </w:tc>
        <w:tc>
          <w:tcPr>
            <w:tcW w:w="8247" w:type="dxa"/>
          </w:tcPr>
          <w:p w14:paraId="310D4E32" w14:textId="77777777" w:rsidR="00E86693" w:rsidRPr="00793E68" w:rsidRDefault="00E86693" w:rsidP="00092AB7">
            <w:pPr>
              <w:ind w:right="-744" w:firstLine="316"/>
              <w:rPr>
                <w:b/>
                <w:bCs/>
                <w:sz w:val="28"/>
                <w:szCs w:val="28"/>
              </w:rPr>
            </w:pPr>
            <w:r w:rsidRPr="00793E68">
              <w:rPr>
                <w:b/>
                <w:bCs/>
                <w:sz w:val="28"/>
                <w:szCs w:val="28"/>
              </w:rPr>
              <w:t>Recommendation</w:t>
            </w:r>
          </w:p>
        </w:tc>
      </w:tr>
      <w:tr w:rsidR="00E86693" w14:paraId="1359A80B" w14:textId="77777777" w:rsidTr="0007464D">
        <w:tc>
          <w:tcPr>
            <w:tcW w:w="2485" w:type="dxa"/>
          </w:tcPr>
          <w:p w14:paraId="7EE529E5" w14:textId="77777777" w:rsidR="00E86693" w:rsidRPr="00E714CD" w:rsidRDefault="00E86693" w:rsidP="007E38B7">
            <w:pPr>
              <w:rPr>
                <w:sz w:val="20"/>
                <w:szCs w:val="20"/>
              </w:rPr>
            </w:pPr>
            <w:r w:rsidRPr="00E714CD">
              <w:rPr>
                <w:sz w:val="20"/>
                <w:szCs w:val="20"/>
              </w:rPr>
              <w:t>AC23 059-23 Rule 5</w:t>
            </w:r>
          </w:p>
          <w:p w14:paraId="38852529" w14:textId="77777777" w:rsidR="00E86693" w:rsidRPr="00E714CD" w:rsidRDefault="00E86693" w:rsidP="00092AB7">
            <w:pPr>
              <w:ind w:firstLine="316"/>
              <w:rPr>
                <w:sz w:val="20"/>
                <w:szCs w:val="20"/>
              </w:rPr>
            </w:pPr>
          </w:p>
          <w:p w14:paraId="66EF702E" w14:textId="77777777" w:rsidR="00E86693" w:rsidRPr="00E714CD" w:rsidRDefault="00E86693" w:rsidP="00092AB7">
            <w:pPr>
              <w:ind w:firstLine="316"/>
              <w:rPr>
                <w:sz w:val="20"/>
                <w:szCs w:val="20"/>
              </w:rPr>
            </w:pPr>
          </w:p>
          <w:p w14:paraId="0C3B8ED5" w14:textId="77777777" w:rsidR="00E86693" w:rsidRPr="00E714CD" w:rsidRDefault="00E86693" w:rsidP="007E38B7">
            <w:pPr>
              <w:rPr>
                <w:sz w:val="20"/>
                <w:szCs w:val="20"/>
              </w:rPr>
            </w:pPr>
            <w:r w:rsidRPr="00E714CD">
              <w:rPr>
                <w:sz w:val="20"/>
                <w:szCs w:val="20"/>
              </w:rPr>
              <w:t>AC23 056-23 Rule 1.1</w:t>
            </w:r>
            <w:r w:rsidRPr="00E714CD">
              <w:rPr>
                <w:sz w:val="20"/>
                <w:szCs w:val="20"/>
              </w:rPr>
              <w:tab/>
            </w:r>
          </w:p>
          <w:p w14:paraId="476BC081" w14:textId="77777777" w:rsidR="007E38B7" w:rsidRDefault="007E38B7" w:rsidP="007E38B7">
            <w:pPr>
              <w:rPr>
                <w:sz w:val="20"/>
                <w:szCs w:val="20"/>
              </w:rPr>
            </w:pPr>
          </w:p>
          <w:p w14:paraId="63E32B7D" w14:textId="67E4966D" w:rsidR="00E86693" w:rsidRPr="00E714CD" w:rsidRDefault="00E86693" w:rsidP="007E38B7">
            <w:pPr>
              <w:rPr>
                <w:sz w:val="20"/>
                <w:szCs w:val="20"/>
              </w:rPr>
            </w:pPr>
            <w:r w:rsidRPr="00E714CD">
              <w:rPr>
                <w:sz w:val="20"/>
                <w:szCs w:val="20"/>
              </w:rPr>
              <w:t>AC23 058-23 Rule 4.2</w:t>
            </w:r>
          </w:p>
          <w:p w14:paraId="1D083766" w14:textId="77777777" w:rsidR="00E86693" w:rsidRPr="00E714CD" w:rsidRDefault="00E86693" w:rsidP="00092AB7">
            <w:pPr>
              <w:ind w:firstLine="316"/>
              <w:rPr>
                <w:sz w:val="20"/>
                <w:szCs w:val="20"/>
              </w:rPr>
            </w:pPr>
          </w:p>
          <w:p w14:paraId="5F42077D" w14:textId="77777777" w:rsidR="00E86693" w:rsidRPr="00E714CD" w:rsidRDefault="00E86693" w:rsidP="007E38B7">
            <w:pPr>
              <w:rPr>
                <w:sz w:val="20"/>
                <w:szCs w:val="20"/>
              </w:rPr>
            </w:pPr>
            <w:r w:rsidRPr="00E714CD">
              <w:rPr>
                <w:sz w:val="20"/>
                <w:szCs w:val="20"/>
              </w:rPr>
              <w:t>AC23 061-23 Rule 6.8</w:t>
            </w:r>
            <w:r w:rsidRPr="00E714CD">
              <w:rPr>
                <w:sz w:val="20"/>
                <w:szCs w:val="20"/>
              </w:rPr>
              <w:tab/>
            </w:r>
          </w:p>
        </w:tc>
        <w:tc>
          <w:tcPr>
            <w:tcW w:w="3580" w:type="dxa"/>
          </w:tcPr>
          <w:p w14:paraId="03263289" w14:textId="77777777" w:rsidR="00E86693" w:rsidRPr="00E714CD" w:rsidRDefault="00E86693" w:rsidP="00092AB7">
            <w:pPr>
              <w:ind w:firstLine="316"/>
              <w:rPr>
                <w:sz w:val="20"/>
                <w:szCs w:val="20"/>
              </w:rPr>
            </w:pPr>
            <w:r w:rsidRPr="00E714CD">
              <w:rPr>
                <w:sz w:val="20"/>
                <w:szCs w:val="20"/>
              </w:rPr>
              <w:t>Replace current rules for observers with simplified rules for umpired racing.</w:t>
            </w:r>
          </w:p>
          <w:p w14:paraId="6B6D695D" w14:textId="77777777" w:rsidR="00E86693" w:rsidRPr="00E714CD" w:rsidRDefault="00E86693" w:rsidP="00092AB7">
            <w:pPr>
              <w:ind w:firstLine="316"/>
              <w:rPr>
                <w:sz w:val="20"/>
                <w:szCs w:val="20"/>
              </w:rPr>
            </w:pPr>
          </w:p>
          <w:p w14:paraId="5F700C72" w14:textId="77777777" w:rsidR="00E86693" w:rsidRPr="00E714CD" w:rsidRDefault="00E86693" w:rsidP="00092AB7">
            <w:pPr>
              <w:ind w:firstLine="316"/>
              <w:rPr>
                <w:sz w:val="20"/>
                <w:szCs w:val="20"/>
              </w:rPr>
            </w:pPr>
            <w:r w:rsidRPr="00E714CD">
              <w:rPr>
                <w:sz w:val="20"/>
                <w:szCs w:val="20"/>
              </w:rPr>
              <w:t xml:space="preserve">Conflict of interest: observer </w:t>
            </w:r>
          </w:p>
          <w:p w14:paraId="689A6553" w14:textId="77777777" w:rsidR="00E86693" w:rsidRPr="00E714CD" w:rsidRDefault="00E86693" w:rsidP="00092AB7">
            <w:pPr>
              <w:ind w:firstLine="316"/>
              <w:rPr>
                <w:sz w:val="20"/>
                <w:szCs w:val="20"/>
              </w:rPr>
            </w:pPr>
          </w:p>
          <w:p w14:paraId="062E2149" w14:textId="77777777" w:rsidR="00E86693" w:rsidRPr="00E714CD" w:rsidRDefault="00E86693" w:rsidP="00092AB7">
            <w:pPr>
              <w:ind w:firstLine="316"/>
              <w:rPr>
                <w:sz w:val="20"/>
                <w:szCs w:val="20"/>
              </w:rPr>
            </w:pPr>
            <w:r w:rsidRPr="00E714CD">
              <w:rPr>
                <w:sz w:val="20"/>
                <w:szCs w:val="20"/>
              </w:rPr>
              <w:t xml:space="preserve">Observer not disinterested </w:t>
            </w:r>
          </w:p>
          <w:p w14:paraId="32BF91DC" w14:textId="77777777" w:rsidR="00E86693" w:rsidRPr="00E714CD" w:rsidRDefault="00E86693" w:rsidP="00092AB7">
            <w:pPr>
              <w:ind w:firstLine="316"/>
              <w:rPr>
                <w:sz w:val="20"/>
                <w:szCs w:val="20"/>
              </w:rPr>
            </w:pPr>
          </w:p>
          <w:p w14:paraId="7A4B826E" w14:textId="77777777" w:rsidR="00E86693" w:rsidRPr="00E714CD" w:rsidRDefault="00E86693" w:rsidP="00092AB7">
            <w:pPr>
              <w:ind w:firstLine="316"/>
              <w:rPr>
                <w:sz w:val="20"/>
                <w:szCs w:val="20"/>
              </w:rPr>
            </w:pPr>
            <w:r w:rsidRPr="00E714CD">
              <w:rPr>
                <w:sz w:val="20"/>
                <w:szCs w:val="20"/>
              </w:rPr>
              <w:t>Witness in control area</w:t>
            </w:r>
            <w:r w:rsidRPr="00E714CD">
              <w:rPr>
                <w:sz w:val="20"/>
                <w:szCs w:val="20"/>
              </w:rPr>
              <w:tab/>
            </w:r>
          </w:p>
        </w:tc>
        <w:tc>
          <w:tcPr>
            <w:tcW w:w="8247" w:type="dxa"/>
          </w:tcPr>
          <w:p w14:paraId="3DD7AA2D" w14:textId="6E4A3CAA" w:rsidR="00E86693" w:rsidRPr="00E714CD" w:rsidRDefault="00E86693" w:rsidP="00092AB7">
            <w:pPr>
              <w:ind w:firstLine="316"/>
              <w:rPr>
                <w:b/>
                <w:bCs/>
                <w:sz w:val="20"/>
                <w:szCs w:val="20"/>
                <w:u w:val="single"/>
              </w:rPr>
            </w:pPr>
            <w:r w:rsidRPr="00E714CD">
              <w:rPr>
                <w:b/>
                <w:bCs/>
                <w:sz w:val="20"/>
                <w:szCs w:val="20"/>
                <w:u w:val="single"/>
              </w:rPr>
              <w:t xml:space="preserve">Reject the </w:t>
            </w:r>
            <w:r w:rsidR="007E38B7">
              <w:rPr>
                <w:b/>
                <w:bCs/>
                <w:sz w:val="20"/>
                <w:szCs w:val="20"/>
                <w:u w:val="single"/>
              </w:rPr>
              <w:t>submissions</w:t>
            </w:r>
            <w:r w:rsidRPr="00E714CD">
              <w:rPr>
                <w:b/>
                <w:bCs/>
                <w:sz w:val="20"/>
                <w:szCs w:val="20"/>
                <w:u w:val="single"/>
              </w:rPr>
              <w:t>.</w:t>
            </w:r>
          </w:p>
          <w:p w14:paraId="15A84FB3" w14:textId="77777777" w:rsidR="00E86693" w:rsidRPr="00E714CD" w:rsidRDefault="00E86693" w:rsidP="00092AB7">
            <w:pPr>
              <w:ind w:firstLine="316"/>
              <w:rPr>
                <w:sz w:val="20"/>
                <w:szCs w:val="20"/>
              </w:rPr>
            </w:pPr>
            <w:r w:rsidRPr="00E714CD">
              <w:rPr>
                <w:sz w:val="20"/>
                <w:szCs w:val="20"/>
              </w:rPr>
              <w:t xml:space="preserve"> </w:t>
            </w:r>
          </w:p>
          <w:p w14:paraId="75064736" w14:textId="38900197" w:rsidR="00E86693" w:rsidRPr="00E714CD" w:rsidRDefault="007E38B7" w:rsidP="00092AB7">
            <w:pPr>
              <w:ind w:firstLine="316"/>
              <w:rPr>
                <w:sz w:val="20"/>
                <w:szCs w:val="20"/>
              </w:rPr>
            </w:pPr>
            <w:r w:rsidRPr="00E714CD">
              <w:rPr>
                <w:sz w:val="20"/>
                <w:szCs w:val="20"/>
              </w:rPr>
              <w:t>IRSA’s policy</w:t>
            </w:r>
            <w:r w:rsidR="00E86693" w:rsidRPr="00E714CD">
              <w:rPr>
                <w:sz w:val="20"/>
                <w:szCs w:val="20"/>
              </w:rPr>
              <w:t xml:space="preserve"> is that rules should be written for the majority of radio sailing, with special rules when necessary. </w:t>
            </w:r>
          </w:p>
          <w:p w14:paraId="0CE6E3DF" w14:textId="77777777" w:rsidR="00E86693" w:rsidRPr="00E714CD" w:rsidRDefault="00E86693" w:rsidP="00092AB7">
            <w:pPr>
              <w:ind w:firstLine="316"/>
              <w:rPr>
                <w:sz w:val="20"/>
                <w:szCs w:val="20"/>
              </w:rPr>
            </w:pPr>
            <w:r w:rsidRPr="00E714CD">
              <w:rPr>
                <w:sz w:val="20"/>
                <w:szCs w:val="20"/>
              </w:rPr>
              <w:t>The majority of radio sailing world-wide is not umpired. Special rules have been developed for the few events that are umpired (international events and some national championships). These special rules are intended to minimise changes and practices compared to the rules with which competitors may be familiar.</w:t>
            </w:r>
          </w:p>
          <w:p w14:paraId="10C0A23A" w14:textId="77777777" w:rsidR="00E86693" w:rsidRPr="00E714CD" w:rsidRDefault="00E86693" w:rsidP="00092AB7">
            <w:pPr>
              <w:ind w:firstLine="316"/>
              <w:rPr>
                <w:sz w:val="20"/>
                <w:szCs w:val="20"/>
              </w:rPr>
            </w:pPr>
            <w:r w:rsidRPr="00E714CD">
              <w:rPr>
                <w:sz w:val="20"/>
                <w:szCs w:val="20"/>
              </w:rPr>
              <w:t xml:space="preserve">Observers, who may be competitors have been part of radio sailing since 1980. Observers contribute to improving rules observance by informing competitors that they have seen contact between a boat and a mark or anther boats. Unresolved incidents are reported to the race committee who may protest. </w:t>
            </w:r>
          </w:p>
          <w:p w14:paraId="491C5819" w14:textId="77777777" w:rsidR="00E86693" w:rsidRPr="00E714CD" w:rsidRDefault="00E86693" w:rsidP="00092AB7">
            <w:pPr>
              <w:ind w:firstLine="316"/>
              <w:rPr>
                <w:b/>
                <w:bCs/>
                <w:sz w:val="20"/>
                <w:szCs w:val="20"/>
              </w:rPr>
            </w:pPr>
            <w:r w:rsidRPr="00E714CD">
              <w:rPr>
                <w:b/>
                <w:bCs/>
                <w:sz w:val="20"/>
                <w:szCs w:val="20"/>
              </w:rPr>
              <w:t>Observers and conflict of interest</w:t>
            </w:r>
          </w:p>
          <w:p w14:paraId="5F6C866E" w14:textId="77777777" w:rsidR="00E86693" w:rsidRPr="00E714CD" w:rsidRDefault="00E86693" w:rsidP="00092AB7">
            <w:pPr>
              <w:ind w:firstLine="316"/>
              <w:rPr>
                <w:sz w:val="20"/>
                <w:szCs w:val="20"/>
              </w:rPr>
            </w:pPr>
            <w:r w:rsidRPr="00E714CD">
              <w:rPr>
                <w:sz w:val="20"/>
                <w:szCs w:val="20"/>
              </w:rPr>
              <w:t xml:space="preserve">Observers evidence is presented at hearings. They do not have a conflict of interest merely because they are a competitor, but may have a conflict of interest for other reasons. </w:t>
            </w:r>
          </w:p>
          <w:p w14:paraId="616E1183" w14:textId="77777777" w:rsidR="00E86693" w:rsidRPr="00E714CD" w:rsidRDefault="00E86693" w:rsidP="00092AB7">
            <w:pPr>
              <w:ind w:firstLine="316"/>
              <w:rPr>
                <w:i/>
                <w:iCs/>
                <w:sz w:val="20"/>
                <w:szCs w:val="20"/>
              </w:rPr>
            </w:pPr>
            <w:r w:rsidRPr="00E714CD">
              <w:rPr>
                <w:sz w:val="20"/>
                <w:szCs w:val="20"/>
              </w:rPr>
              <w:t xml:space="preserve">WS RS Call O1 states: </w:t>
            </w:r>
            <w:r w:rsidRPr="00E714CD">
              <w:rPr>
                <w:i/>
                <w:iCs/>
                <w:sz w:val="20"/>
                <w:szCs w:val="20"/>
              </w:rPr>
              <w:t>Any hail or report by an observer is independent evidence about an incident. It is not a statement of fact although a protest may subsequently give such evidence greater weight than any conflicting evidence; see rule 63.6(d). In any hearing arising from a</w:t>
            </w:r>
          </w:p>
          <w:p w14:paraId="56A2A97A" w14:textId="77777777" w:rsidR="00E86693" w:rsidRPr="00E714CD" w:rsidRDefault="00E86693" w:rsidP="00092AB7">
            <w:pPr>
              <w:ind w:firstLine="316"/>
              <w:rPr>
                <w:i/>
                <w:iCs/>
                <w:sz w:val="20"/>
                <w:szCs w:val="20"/>
              </w:rPr>
            </w:pPr>
            <w:r w:rsidRPr="00E714CD">
              <w:rPr>
                <w:i/>
                <w:iCs/>
                <w:sz w:val="20"/>
                <w:szCs w:val="20"/>
              </w:rPr>
              <w:t>report the observer is not a party but a witness. An observer does not have a conflict</w:t>
            </w:r>
          </w:p>
          <w:p w14:paraId="394C93D3" w14:textId="77777777" w:rsidR="00E86693" w:rsidRPr="00E714CD" w:rsidRDefault="00E86693" w:rsidP="00092AB7">
            <w:pPr>
              <w:ind w:firstLine="316"/>
              <w:rPr>
                <w:i/>
                <w:iCs/>
                <w:sz w:val="20"/>
                <w:szCs w:val="20"/>
              </w:rPr>
            </w:pPr>
            <w:r w:rsidRPr="00E714CD">
              <w:rPr>
                <w:i/>
                <w:iCs/>
                <w:sz w:val="20"/>
                <w:szCs w:val="20"/>
              </w:rPr>
              <w:t>of interest solely by being a competitor; see rule E1.1</w:t>
            </w:r>
          </w:p>
          <w:p w14:paraId="49CFCBB6" w14:textId="77777777" w:rsidR="00E86693" w:rsidRPr="00E714CD" w:rsidRDefault="00E86693" w:rsidP="00092AB7">
            <w:pPr>
              <w:ind w:firstLine="316"/>
              <w:rPr>
                <w:sz w:val="20"/>
                <w:szCs w:val="20"/>
              </w:rPr>
            </w:pPr>
          </w:p>
          <w:p w14:paraId="43C6D896" w14:textId="77777777" w:rsidR="00E86693" w:rsidRPr="00E714CD" w:rsidRDefault="00E86693" w:rsidP="00092AB7">
            <w:pPr>
              <w:ind w:firstLine="316"/>
              <w:rPr>
                <w:b/>
                <w:bCs/>
                <w:sz w:val="20"/>
                <w:szCs w:val="20"/>
              </w:rPr>
            </w:pPr>
            <w:r w:rsidRPr="00E714CD">
              <w:rPr>
                <w:b/>
                <w:bCs/>
                <w:sz w:val="20"/>
                <w:szCs w:val="20"/>
              </w:rPr>
              <w:t>Observer’s, umpire’s and witnesses’ obligation to be in the control area</w:t>
            </w:r>
          </w:p>
          <w:p w14:paraId="3E6FD9AB" w14:textId="77777777" w:rsidR="00E86693" w:rsidRPr="00E714CD" w:rsidRDefault="00E86693" w:rsidP="00092AB7">
            <w:pPr>
              <w:ind w:firstLine="316"/>
              <w:rPr>
                <w:sz w:val="20"/>
                <w:szCs w:val="20"/>
              </w:rPr>
            </w:pPr>
            <w:r w:rsidRPr="00E714CD">
              <w:rPr>
                <w:sz w:val="20"/>
                <w:szCs w:val="20"/>
              </w:rPr>
              <w:t>‘Competitors are obliged, by the basic principle of sportsmanship to follow and enforce the rules. However, in radio sailing the boat and the competitor controlling her are usually separated by some, possibly significant, distance. The competitor may not be well placed to view any incident and to rapidly analyse the relative speed, angle and distance between the boats. Therefore, interpretations of the rules should be appropriate to the conditions and should take account of these limitations.’ (WS RS Call Book).</w:t>
            </w:r>
          </w:p>
          <w:p w14:paraId="63FE5387" w14:textId="7B3DC385" w:rsidR="00E86693" w:rsidRPr="00E714CD" w:rsidRDefault="00E86693" w:rsidP="00092AB7">
            <w:pPr>
              <w:ind w:firstLine="316"/>
              <w:rPr>
                <w:sz w:val="20"/>
                <w:szCs w:val="20"/>
              </w:rPr>
            </w:pPr>
            <w:r w:rsidRPr="00E714CD">
              <w:rPr>
                <w:sz w:val="20"/>
                <w:szCs w:val="20"/>
              </w:rPr>
              <w:lastRenderedPageBreak/>
              <w:t xml:space="preserve">To achieve </w:t>
            </w:r>
            <w:proofErr w:type="gramStart"/>
            <w:r w:rsidRPr="00E714CD">
              <w:rPr>
                <w:sz w:val="20"/>
                <w:szCs w:val="20"/>
              </w:rPr>
              <w:t>th</w:t>
            </w:r>
            <w:r w:rsidR="00C52B11">
              <w:rPr>
                <w:sz w:val="20"/>
                <w:szCs w:val="20"/>
              </w:rPr>
              <w:t>at interpretations</w:t>
            </w:r>
            <w:proofErr w:type="gramEnd"/>
            <w:r w:rsidR="00C52B11">
              <w:rPr>
                <w:sz w:val="20"/>
                <w:szCs w:val="20"/>
              </w:rPr>
              <w:t xml:space="preserve"> of the rules take account of these limitations</w:t>
            </w:r>
            <w:r w:rsidRPr="00E714CD">
              <w:rPr>
                <w:sz w:val="20"/>
                <w:szCs w:val="20"/>
              </w:rPr>
              <w:t>, a key principle of observing is that they observe the race area from the same view point as the competitors. When developing rules for umpired radio sailing the same principle was applied. This also applies to witnesses at a hearing. In effect, boats are judged based on what the person controlling the boat can see. There has been no request by competitors to change this principle.</w:t>
            </w:r>
          </w:p>
          <w:p w14:paraId="2ED75D27" w14:textId="77777777" w:rsidR="00E86693" w:rsidRPr="00E714CD" w:rsidRDefault="00E86693" w:rsidP="00092AB7">
            <w:pPr>
              <w:ind w:firstLine="316"/>
              <w:rPr>
                <w:sz w:val="20"/>
                <w:szCs w:val="20"/>
              </w:rPr>
            </w:pPr>
          </w:p>
          <w:p w14:paraId="171D655B" w14:textId="77777777" w:rsidR="00E86693" w:rsidRPr="00E714CD" w:rsidRDefault="00E86693" w:rsidP="00E86693">
            <w:pPr>
              <w:rPr>
                <w:sz w:val="20"/>
                <w:szCs w:val="20"/>
              </w:rPr>
            </w:pPr>
            <w:r w:rsidRPr="00E714CD">
              <w:rPr>
                <w:sz w:val="20"/>
                <w:szCs w:val="20"/>
              </w:rPr>
              <w:t>IRSA recognises that the rules for observers have been in use for some time. The validity of maintaining these rules has been questioned, principally by umpires more familiar with other umpired sailing disciplines.</w:t>
            </w:r>
          </w:p>
          <w:p w14:paraId="5DC612C6" w14:textId="77777777" w:rsidR="00E86693" w:rsidRPr="00E714CD" w:rsidRDefault="00E86693" w:rsidP="00E86693">
            <w:pPr>
              <w:rPr>
                <w:sz w:val="20"/>
                <w:szCs w:val="20"/>
              </w:rPr>
            </w:pPr>
            <w:r w:rsidRPr="00E714CD">
              <w:rPr>
                <w:sz w:val="20"/>
                <w:szCs w:val="20"/>
              </w:rPr>
              <w:t>IRSA proposes to initiate a wide review of these rules and other rules of App E, involving all stakeholders.</w:t>
            </w:r>
          </w:p>
          <w:p w14:paraId="12CB110C" w14:textId="77777777" w:rsidR="00E86693" w:rsidRPr="00E714CD" w:rsidRDefault="00E86693" w:rsidP="00092AB7">
            <w:pPr>
              <w:ind w:firstLine="316"/>
              <w:rPr>
                <w:sz w:val="20"/>
                <w:szCs w:val="20"/>
              </w:rPr>
            </w:pPr>
          </w:p>
        </w:tc>
      </w:tr>
      <w:tr w:rsidR="007E38B7" w14:paraId="466AACE4" w14:textId="77777777" w:rsidTr="0007464D">
        <w:tc>
          <w:tcPr>
            <w:tcW w:w="2485" w:type="dxa"/>
          </w:tcPr>
          <w:p w14:paraId="02BBAA83" w14:textId="77777777" w:rsidR="007E38B7" w:rsidRDefault="007E38B7" w:rsidP="007E38B7">
            <w:r>
              <w:lastRenderedPageBreak/>
              <w:t>AC23 057-23 Rule 2.4</w:t>
            </w:r>
          </w:p>
          <w:p w14:paraId="499A409C" w14:textId="77777777" w:rsidR="007E38B7" w:rsidRDefault="007E38B7" w:rsidP="007E38B7">
            <w:pPr>
              <w:ind w:firstLine="316"/>
              <w:rPr>
                <w:sz w:val="20"/>
                <w:szCs w:val="20"/>
              </w:rPr>
            </w:pPr>
          </w:p>
          <w:p w14:paraId="51BFB2AA" w14:textId="182894E3" w:rsidR="007E38B7" w:rsidRPr="00E714CD" w:rsidRDefault="007E38B7" w:rsidP="007E38B7">
            <w:pPr>
              <w:rPr>
                <w:sz w:val="20"/>
                <w:szCs w:val="20"/>
              </w:rPr>
            </w:pPr>
            <w:r>
              <w:t>AC23 060-23 Rule E6.6</w:t>
            </w:r>
          </w:p>
        </w:tc>
        <w:tc>
          <w:tcPr>
            <w:tcW w:w="3580" w:type="dxa"/>
          </w:tcPr>
          <w:p w14:paraId="5EB487C4" w14:textId="77777777" w:rsidR="007E38B7" w:rsidRDefault="007E38B7" w:rsidP="007E38B7">
            <w:pPr>
              <w:ind w:firstLine="316"/>
            </w:pPr>
            <w:r>
              <w:t xml:space="preserve">Aerial protection </w:t>
            </w:r>
          </w:p>
          <w:p w14:paraId="1C07775E" w14:textId="77777777" w:rsidR="007E38B7" w:rsidRDefault="007E38B7" w:rsidP="007E38B7">
            <w:pPr>
              <w:ind w:firstLine="316"/>
            </w:pPr>
          </w:p>
          <w:p w14:paraId="423614FA" w14:textId="4EC94FCE" w:rsidR="007E38B7" w:rsidRPr="00E714CD" w:rsidRDefault="007E38B7" w:rsidP="007E38B7">
            <w:pPr>
              <w:rPr>
                <w:sz w:val="20"/>
                <w:szCs w:val="20"/>
              </w:rPr>
            </w:pPr>
            <w:r>
              <w:t>Remove radio interference as grounds for redress</w:t>
            </w:r>
          </w:p>
        </w:tc>
        <w:tc>
          <w:tcPr>
            <w:tcW w:w="8247" w:type="dxa"/>
          </w:tcPr>
          <w:p w14:paraId="723EF983" w14:textId="77777777" w:rsidR="007E38B7" w:rsidRDefault="007E38B7" w:rsidP="007E38B7">
            <w:r w:rsidRPr="007E38B7">
              <w:rPr>
                <w:b/>
                <w:bCs/>
              </w:rPr>
              <w:t>Reject</w:t>
            </w:r>
            <w:r>
              <w:t>:</w:t>
            </w:r>
          </w:p>
          <w:p w14:paraId="74F705B5" w14:textId="3914BA89" w:rsidR="007E38B7" w:rsidRDefault="007E38B7" w:rsidP="007E38B7">
            <w:r>
              <w:t>Frequencies requiring a long aerial are international standards for radio command transmitters.</w:t>
            </w:r>
          </w:p>
          <w:p w14:paraId="0CD90F81" w14:textId="6B44E751" w:rsidR="007E38B7" w:rsidRDefault="007E38B7" w:rsidP="007E38B7">
            <w:r>
              <w:t>Frequencies other than 2.4 MHz may be subject to radio interference.</w:t>
            </w:r>
          </w:p>
          <w:p w14:paraId="1F1A2871" w14:textId="65C769C1" w:rsidR="007E38B7" w:rsidRDefault="007E38B7" w:rsidP="007E38B7">
            <w:r>
              <w:t>Although most competitors use 2.4MHz, which does not need a long aerial, transmitters that do are still legal.</w:t>
            </w:r>
          </w:p>
          <w:p w14:paraId="26421DD9" w14:textId="6A5CC3A4" w:rsidR="007E38B7" w:rsidRDefault="007E38B7" w:rsidP="007E38B7">
            <w:r>
              <w:t>It is not feasible to resolve this issue using class rules, as there are a large number of classes, only 4 of which are IRSA classes.</w:t>
            </w:r>
          </w:p>
          <w:p w14:paraId="3DA42F61" w14:textId="30F1E2E6" w:rsidR="008A02F8" w:rsidRDefault="008A02F8" w:rsidP="007E38B7">
            <w:r>
              <w:t xml:space="preserve">This is a safety </w:t>
            </w:r>
            <w:proofErr w:type="gramStart"/>
            <w:r>
              <w:t>issue,</w:t>
            </w:r>
            <w:proofErr w:type="gramEnd"/>
            <w:r>
              <w:t xml:space="preserve"> an unprotected aerial point can severely </w:t>
            </w:r>
            <w:r w:rsidR="00BD2724">
              <w:t xml:space="preserve">damage </w:t>
            </w:r>
            <w:r>
              <w:t xml:space="preserve">an eye. </w:t>
            </w:r>
          </w:p>
          <w:p w14:paraId="03111EA4" w14:textId="77777777" w:rsidR="007E38B7" w:rsidRDefault="007E38B7" w:rsidP="007E38B7"/>
          <w:p w14:paraId="2FCF7FE8" w14:textId="6B8171AC" w:rsidR="007E38B7" w:rsidRPr="008561CA" w:rsidRDefault="007E38B7" w:rsidP="008A02F8">
            <w:r>
              <w:t xml:space="preserve">As part of the IRSA review of </w:t>
            </w:r>
            <w:r w:rsidR="008A02F8">
              <w:t>Appendix E, it could be possible to envisage limiting transmitters to 2.4MHz (which would lock radio sailing in to one technology), or limiting the length of aerials to less than 200mm</w:t>
            </w:r>
            <w:r w:rsidR="008561CA">
              <w:t xml:space="preserve"> (</w:t>
            </w:r>
            <w:r w:rsidR="008A02F8">
              <w:t>which would condition any future technological development</w:t>
            </w:r>
            <w:r w:rsidR="008561CA">
              <w:t>).</w:t>
            </w:r>
            <w:r w:rsidR="00A7489B">
              <w:t xml:space="preserve"> Both of these measures would require a reasonable lead-in time before becoming effective.</w:t>
            </w:r>
          </w:p>
        </w:tc>
      </w:tr>
      <w:tr w:rsidR="00A7489B" w14:paraId="5D81F4CF" w14:textId="77777777" w:rsidTr="0007464D">
        <w:tc>
          <w:tcPr>
            <w:tcW w:w="2485" w:type="dxa"/>
          </w:tcPr>
          <w:p w14:paraId="59E0F04A" w14:textId="14A4C4C7" w:rsidR="00A7489B" w:rsidRDefault="00A7489B" w:rsidP="00A7489B">
            <w:r>
              <w:t>AC23 062-23 Rule E7</w:t>
            </w:r>
          </w:p>
        </w:tc>
        <w:tc>
          <w:tcPr>
            <w:tcW w:w="3580" w:type="dxa"/>
          </w:tcPr>
          <w:p w14:paraId="256F3421" w14:textId="101DC383" w:rsidR="00A7489B" w:rsidRDefault="00A7489B" w:rsidP="00A7489B">
            <w:pPr>
              <w:ind w:firstLine="316"/>
            </w:pPr>
            <w:r>
              <w:t>Penalties</w:t>
            </w:r>
          </w:p>
        </w:tc>
        <w:tc>
          <w:tcPr>
            <w:tcW w:w="8247" w:type="dxa"/>
          </w:tcPr>
          <w:p w14:paraId="66037ECE" w14:textId="2A5FD81E" w:rsidR="00A7489B" w:rsidRDefault="00A7489B" w:rsidP="00A7489B">
            <w:pPr>
              <w:rPr>
                <w:b/>
                <w:bCs/>
              </w:rPr>
            </w:pPr>
            <w:r w:rsidRPr="00A7489B">
              <w:rPr>
                <w:b/>
                <w:bCs/>
              </w:rPr>
              <w:t>Reject</w:t>
            </w:r>
            <w:r>
              <w:rPr>
                <w:b/>
                <w:bCs/>
              </w:rPr>
              <w:t xml:space="preserve">: </w:t>
            </w:r>
          </w:p>
          <w:p w14:paraId="46DBC7C9" w14:textId="77777777" w:rsidR="00A7489B" w:rsidRDefault="00A7489B" w:rsidP="00A7489B">
            <w:r w:rsidRPr="00A7489B">
              <w:t>The current ru</w:t>
            </w:r>
            <w:r>
              <w:t>le E7 means that all penalties given by a PC after a hearing are discretionary, except for breaches of a rule of Parts 2,3 or 4.</w:t>
            </w:r>
          </w:p>
          <w:p w14:paraId="5AAE9CC6" w14:textId="77777777" w:rsidR="00A7489B" w:rsidRDefault="00A7489B" w:rsidP="00A7489B">
            <w:r>
              <w:t>The discretionary penalties are:</w:t>
            </w:r>
          </w:p>
          <w:p w14:paraId="637EC604" w14:textId="77777777" w:rsidR="00A7489B" w:rsidRDefault="00A7489B" w:rsidP="00A7489B">
            <w:pPr>
              <w:pStyle w:val="Paragraphedeliste"/>
              <w:numPr>
                <w:ilvl w:val="0"/>
                <w:numId w:val="2"/>
              </w:numPr>
            </w:pPr>
            <w:r>
              <w:t>Points from zero upwards</w:t>
            </w:r>
          </w:p>
          <w:p w14:paraId="6225C6D1" w14:textId="359C43CF" w:rsidR="00A7489B" w:rsidRDefault="00A7489B" w:rsidP="00A7489B">
            <w:pPr>
              <w:pStyle w:val="Paragraphedeliste"/>
              <w:numPr>
                <w:ilvl w:val="0"/>
                <w:numId w:val="2"/>
              </w:numPr>
            </w:pPr>
            <w:r>
              <w:t>Disqualification</w:t>
            </w:r>
          </w:p>
          <w:p w14:paraId="7FCED33C" w14:textId="74C7F367" w:rsidR="00A7489B" w:rsidRDefault="00A7489B" w:rsidP="00A7489B">
            <w:pPr>
              <w:pStyle w:val="Paragraphedeliste"/>
              <w:numPr>
                <w:ilvl w:val="0"/>
                <w:numId w:val="2"/>
              </w:numPr>
            </w:pPr>
            <w:r>
              <w:t>One or more penalty turns taken after the starting signal for the boat’s next heat.</w:t>
            </w:r>
          </w:p>
          <w:p w14:paraId="4A43EADC" w14:textId="529E9DDA" w:rsidR="00E6191A" w:rsidRDefault="00E6191A" w:rsidP="00A7489B">
            <w:r>
              <w:t>SIs often include the one-turn penalty after the starting signal, given by the RC without a hearing for minor breaches of the Sis.</w:t>
            </w:r>
          </w:p>
          <w:p w14:paraId="5B93553A" w14:textId="77777777" w:rsidR="00E6191A" w:rsidRDefault="00E6191A" w:rsidP="00A7489B"/>
          <w:p w14:paraId="3FD5EE50" w14:textId="16BC4AFF" w:rsidR="00E6191A" w:rsidRDefault="00E6191A" w:rsidP="00A7489B">
            <w:r>
              <w:t xml:space="preserve">One argument advanced in the submission is flawed. As stated in </w:t>
            </w:r>
            <w:r w:rsidR="00FB5640">
              <w:t xml:space="preserve">RRS Introduction, Appendices </w:t>
            </w:r>
            <w:proofErr w:type="gramStart"/>
            <w:r w:rsidR="00FB5640">
              <w:t>‘ When</w:t>
            </w:r>
            <w:proofErr w:type="gramEnd"/>
            <w:r w:rsidR="00FB5640">
              <w:t xml:space="preserve"> the rules of an appendix apply, they take precedence over any conflicting rules in Part 1-7 and the Definitions’. Therefore</w:t>
            </w:r>
            <w:r w:rsidR="0007464D">
              <w:t>,</w:t>
            </w:r>
            <w:r w:rsidR="00FB5640">
              <w:t xml:space="preserve"> RRS E7 takes precedence over RRS 64.2, Penalties.</w:t>
            </w:r>
          </w:p>
          <w:p w14:paraId="2CAC732E" w14:textId="1CCD1155" w:rsidR="00E6191A" w:rsidRDefault="00FB5640" w:rsidP="00CB3B6A">
            <w:r>
              <w:t xml:space="preserve">IRSA has published </w:t>
            </w:r>
            <w:r w:rsidR="00CB3B6A">
              <w:t>‘Discretionary Penalties Guidelines for</w:t>
            </w:r>
            <w:r w:rsidR="0007464D">
              <w:t xml:space="preserve"> ‘</w:t>
            </w:r>
            <w:r w:rsidR="00CB3B6A">
              <w:t>Radio Sailing’ based on the current WS guidelines adapted for RRS E7.</w:t>
            </w:r>
          </w:p>
          <w:p w14:paraId="362FA962" w14:textId="278C3E6F" w:rsidR="00A7489B" w:rsidRPr="00A7489B" w:rsidRDefault="00A7489B" w:rsidP="00A7489B">
            <w:r>
              <w:t xml:space="preserve"> </w:t>
            </w:r>
          </w:p>
        </w:tc>
      </w:tr>
      <w:tr w:rsidR="0007464D" w14:paraId="5BE20623" w14:textId="77777777" w:rsidTr="0007464D">
        <w:tc>
          <w:tcPr>
            <w:tcW w:w="2485" w:type="dxa"/>
          </w:tcPr>
          <w:p w14:paraId="105EF252" w14:textId="38103FD8" w:rsidR="0007464D" w:rsidRDefault="0007464D" w:rsidP="0007464D">
            <w:r w:rsidRPr="002871DE">
              <w:t>AC23 063-23 Rule E8</w:t>
            </w:r>
          </w:p>
        </w:tc>
        <w:tc>
          <w:tcPr>
            <w:tcW w:w="3580" w:type="dxa"/>
          </w:tcPr>
          <w:p w14:paraId="2582E6AB" w14:textId="626E0CB2" w:rsidR="0007464D" w:rsidRDefault="0007464D" w:rsidP="0007464D">
            <w:pPr>
              <w:ind w:firstLine="316"/>
            </w:pPr>
            <w:r>
              <w:t>Sail identification</w:t>
            </w:r>
          </w:p>
        </w:tc>
        <w:tc>
          <w:tcPr>
            <w:tcW w:w="8247" w:type="dxa"/>
          </w:tcPr>
          <w:p w14:paraId="3611563E" w14:textId="1B36E519" w:rsidR="0007464D" w:rsidRDefault="0007464D" w:rsidP="0007464D">
            <w:r w:rsidRPr="0007464D">
              <w:rPr>
                <w:b/>
                <w:bCs/>
              </w:rPr>
              <w:t>Reject</w:t>
            </w:r>
            <w:r w:rsidR="00A515F4">
              <w:rPr>
                <w:b/>
                <w:bCs/>
              </w:rPr>
              <w:t>:</w:t>
            </w:r>
          </w:p>
          <w:p w14:paraId="1440ECCB" w14:textId="77777777" w:rsidR="0007464D" w:rsidRDefault="0007464D" w:rsidP="0007464D">
            <w:r w:rsidRPr="00A515F4">
              <w:rPr>
                <w:b/>
                <w:bCs/>
              </w:rPr>
              <w:t>IRSA recommends that the 2022 Submission be approved in full</w:t>
            </w:r>
            <w:r>
              <w:t>.</w:t>
            </w:r>
          </w:p>
          <w:p w14:paraId="58EF81A4" w14:textId="32EABBAC" w:rsidR="0007464D" w:rsidRDefault="0007464D" w:rsidP="0007464D">
            <w:r>
              <w:t>The current somewhat confusing situation in which the IRSA classes use a</w:t>
            </w:r>
            <w:r w:rsidR="00374A39">
              <w:t xml:space="preserve"> temporary internal document is a response to an error in drafting the current RRS E8. This could not be changed</w:t>
            </w:r>
            <w:r>
              <w:t xml:space="preserve"> </w:t>
            </w:r>
            <w:r w:rsidR="00374A39">
              <w:t>until the next rule book.</w:t>
            </w:r>
            <w:r w:rsidR="000F53A9">
              <w:t xml:space="preserve"> </w:t>
            </w:r>
          </w:p>
          <w:p w14:paraId="29D7EE69" w14:textId="51B29765" w:rsidR="00374A39" w:rsidRPr="00374A39" w:rsidRDefault="00374A39" w:rsidP="0007464D">
            <w:r>
              <w:t>Rule E8 applies to the IRSA (and potentially to future World Sailing) classes, and indirectly to all other classes by RRS G2, Other Boats. It is therefore important that these rules be accessible as a World Sailing document</w:t>
            </w:r>
            <w:r w:rsidR="000F53A9">
              <w:t>. IRSA’s preference is that RRS E8 remain in the rule book, but appreciates that publishing the rule as an on-line document would allow greater flexibility if changes are required.</w:t>
            </w:r>
          </w:p>
        </w:tc>
      </w:tr>
    </w:tbl>
    <w:p w14:paraId="397EBA54" w14:textId="77777777" w:rsidR="002B2F9F" w:rsidRDefault="002B2F9F"/>
    <w:sectPr w:rsidR="002B2F9F" w:rsidSect="00923120">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C3188" w14:textId="77777777" w:rsidR="007416FC" w:rsidRDefault="007416FC" w:rsidP="00E4451B">
      <w:pPr>
        <w:spacing w:after="0" w:line="240" w:lineRule="auto"/>
      </w:pPr>
      <w:r>
        <w:separator/>
      </w:r>
    </w:p>
  </w:endnote>
  <w:endnote w:type="continuationSeparator" w:id="0">
    <w:p w14:paraId="335BD782" w14:textId="77777777" w:rsidR="007416FC" w:rsidRDefault="007416FC" w:rsidP="00E44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A5922" w14:textId="77777777" w:rsidR="00793E68" w:rsidRDefault="00793E6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4C5EA" w14:textId="77777777" w:rsidR="00793E68" w:rsidRDefault="00793E68">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2B0A1" w14:textId="77777777" w:rsidR="00793E68" w:rsidRDefault="00793E68">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906DE" w14:textId="77777777" w:rsidR="007416FC" w:rsidRDefault="007416FC" w:rsidP="00E4451B">
      <w:pPr>
        <w:spacing w:after="0" w:line="240" w:lineRule="auto"/>
      </w:pPr>
      <w:r>
        <w:separator/>
      </w:r>
    </w:p>
  </w:footnote>
  <w:footnote w:type="continuationSeparator" w:id="0">
    <w:p w14:paraId="71429F40" w14:textId="77777777" w:rsidR="007416FC" w:rsidRDefault="007416FC" w:rsidP="00E44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3F80D" w14:textId="77777777" w:rsidR="00793E68" w:rsidRDefault="00793E6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5579C" w14:textId="7910493C" w:rsidR="00E4451B" w:rsidRDefault="005D5404">
    <w:pPr>
      <w:pStyle w:val="En-tte"/>
    </w:pPr>
    <w:r>
      <w:ptab w:relativeTo="margin" w:alignment="center" w:leader="none"/>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F15DD" w14:textId="0A5623BD" w:rsidR="00793E68" w:rsidRDefault="00793E68" w:rsidP="00BD2724">
    <w:pPr>
      <w:pStyle w:val="En-tte"/>
      <w:ind w:right="-359" w:hanging="567"/>
      <w:rPr>
        <w:sz w:val="36"/>
        <w:szCs w:val="36"/>
      </w:rPr>
    </w:pPr>
    <w:r>
      <w:rPr>
        <w:sz w:val="36"/>
        <w:szCs w:val="36"/>
      </w:rPr>
      <w:t xml:space="preserve"> </w:t>
    </w:r>
    <w:r w:rsidR="00A3519B">
      <w:rPr>
        <w:rFonts w:ascii="Times New Roman"/>
        <w:noProof/>
        <w:sz w:val="20"/>
      </w:rPr>
      <w:drawing>
        <wp:inline distT="0" distB="0" distL="0" distR="0" wp14:anchorId="7D7231AE" wp14:editId="20E8DE2B">
          <wp:extent cx="936204" cy="1106424"/>
          <wp:effectExtent l="0" t="0" r="0" b="0"/>
          <wp:docPr id="1" name="image1.png"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A blue and white logo&#10;&#10;Description automatically generated"/>
                  <pic:cNvPicPr/>
                </pic:nvPicPr>
                <pic:blipFill>
                  <a:blip r:embed="rId1" cstate="print"/>
                  <a:stretch>
                    <a:fillRect/>
                  </a:stretch>
                </pic:blipFill>
                <pic:spPr>
                  <a:xfrm>
                    <a:off x="0" y="0"/>
                    <a:ext cx="936204" cy="1106424"/>
                  </a:xfrm>
                  <a:prstGeom prst="rect">
                    <a:avLst/>
                  </a:prstGeom>
                </pic:spPr>
              </pic:pic>
            </a:graphicData>
          </a:graphic>
        </wp:inline>
      </w:drawing>
    </w:r>
    <w:r w:rsidR="00BD2724">
      <w:rPr>
        <w:sz w:val="36"/>
        <w:szCs w:val="36"/>
      </w:rPr>
      <w:t xml:space="preserve"> </w:t>
    </w:r>
    <w:r>
      <w:rPr>
        <w:rFonts w:ascii="Times New Roman"/>
        <w:noProof/>
        <w:sz w:val="20"/>
      </w:rPr>
      <w:t xml:space="preserve"> </w:t>
    </w:r>
    <w:r>
      <w:rPr>
        <w:rFonts w:ascii="Times New Roman"/>
        <w:noProof/>
        <w:sz w:val="20"/>
      </w:rPr>
      <w:tab/>
    </w:r>
    <w:r>
      <w:rPr>
        <w:rFonts w:ascii="Times New Roman"/>
        <w:noProof/>
        <w:sz w:val="20"/>
      </w:rPr>
      <w:tab/>
    </w:r>
    <w:r>
      <w:rPr>
        <w:rFonts w:ascii="Times New Roman"/>
        <w:noProof/>
        <w:sz w:val="20"/>
      </w:rPr>
      <w:tab/>
    </w:r>
    <w:r>
      <w:rPr>
        <w:rFonts w:ascii="Times New Roman"/>
        <w:noProof/>
        <w:sz w:val="20"/>
      </w:rPr>
      <w:tab/>
    </w:r>
    <w:r>
      <w:rPr>
        <w:rFonts w:ascii="Times New Roman"/>
        <w:noProof/>
        <w:sz w:val="20"/>
      </w:rPr>
      <w:drawing>
        <wp:inline distT="0" distB="0" distL="0" distR="0" wp14:anchorId="6154F08F" wp14:editId="129D82CE">
          <wp:extent cx="1976797" cy="1110996"/>
          <wp:effectExtent l="0" t="0" r="0" b="0"/>
          <wp:docPr id="3" name="image2.png" descr="A logo with blue and orange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A logo with blue and orange letters&#10;&#10;Description automatically generated"/>
                  <pic:cNvPicPr/>
                </pic:nvPicPr>
                <pic:blipFill>
                  <a:blip r:embed="rId2" cstate="print"/>
                  <a:stretch>
                    <a:fillRect/>
                  </a:stretch>
                </pic:blipFill>
                <pic:spPr>
                  <a:xfrm>
                    <a:off x="0" y="0"/>
                    <a:ext cx="1976797" cy="1110996"/>
                  </a:xfrm>
                  <a:prstGeom prst="rect">
                    <a:avLst/>
                  </a:prstGeom>
                </pic:spPr>
              </pic:pic>
            </a:graphicData>
          </a:graphic>
        </wp:inline>
      </w:drawing>
    </w:r>
  </w:p>
  <w:p w14:paraId="363BBD1A" w14:textId="2EBE31D5" w:rsidR="00E4451B" w:rsidRDefault="00BD2724" w:rsidP="00793E68">
    <w:pPr>
      <w:pStyle w:val="En-tte"/>
      <w:ind w:right="-359" w:hanging="567"/>
      <w:jc w:val="center"/>
    </w:pPr>
    <w:r>
      <w:rPr>
        <w:sz w:val="36"/>
        <w:szCs w:val="36"/>
      </w:rPr>
      <w:t>IRSA Executive Committee Recommendations on C</w:t>
    </w:r>
    <w:r w:rsidR="00793E68">
      <w:rPr>
        <w:sz w:val="36"/>
        <w:szCs w:val="36"/>
      </w:rPr>
      <w:t xml:space="preserve">roatian </w:t>
    </w:r>
    <w:r>
      <w:rPr>
        <w:sz w:val="36"/>
        <w:szCs w:val="36"/>
      </w:rPr>
      <w:t>S</w:t>
    </w:r>
    <w:r w:rsidR="00793E68">
      <w:rPr>
        <w:sz w:val="36"/>
        <w:szCs w:val="36"/>
      </w:rPr>
      <w:t xml:space="preserve">. </w:t>
    </w:r>
    <w:r>
      <w:rPr>
        <w:sz w:val="36"/>
        <w:szCs w:val="36"/>
      </w:rPr>
      <w:t>F</w:t>
    </w:r>
    <w:r w:rsidR="00793E68">
      <w:rPr>
        <w:sz w:val="36"/>
        <w:szCs w:val="36"/>
      </w:rPr>
      <w:t>.</w:t>
    </w:r>
    <w:r>
      <w:rPr>
        <w:sz w:val="36"/>
        <w:szCs w:val="36"/>
      </w:rPr>
      <w:t xml:space="preserve"> Submission</w:t>
    </w:r>
    <w:r w:rsidR="00793E68">
      <w:rPr>
        <w:sz w:val="36"/>
        <w:szCs w:val="36"/>
      </w:rPr>
      <w:t>s on RRS App. 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6272FB"/>
    <w:multiLevelType w:val="hybridMultilevel"/>
    <w:tmpl w:val="4E18582C"/>
    <w:lvl w:ilvl="0" w:tplc="68F4F324">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22500DE2"/>
    <w:multiLevelType w:val="hybridMultilevel"/>
    <w:tmpl w:val="A75E6C1C"/>
    <w:lvl w:ilvl="0" w:tplc="FF00459A">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495152782">
    <w:abstractNumId w:val="1"/>
  </w:num>
  <w:num w:numId="2" w16cid:durableId="3549655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693"/>
    <w:rsid w:val="00000611"/>
    <w:rsid w:val="0007464D"/>
    <w:rsid w:val="000F53A9"/>
    <w:rsid w:val="002B2F9F"/>
    <w:rsid w:val="00374A39"/>
    <w:rsid w:val="003E0F3A"/>
    <w:rsid w:val="005C700B"/>
    <w:rsid w:val="005D5404"/>
    <w:rsid w:val="007416FC"/>
    <w:rsid w:val="00793E68"/>
    <w:rsid w:val="007E38B7"/>
    <w:rsid w:val="00837E88"/>
    <w:rsid w:val="008561CA"/>
    <w:rsid w:val="008A02F8"/>
    <w:rsid w:val="00923120"/>
    <w:rsid w:val="00A3519B"/>
    <w:rsid w:val="00A515F4"/>
    <w:rsid w:val="00A7489B"/>
    <w:rsid w:val="00BD2724"/>
    <w:rsid w:val="00C52B11"/>
    <w:rsid w:val="00CB3B6A"/>
    <w:rsid w:val="00D532F8"/>
    <w:rsid w:val="00E4451B"/>
    <w:rsid w:val="00E6191A"/>
    <w:rsid w:val="00E86693"/>
    <w:rsid w:val="00EE3782"/>
    <w:rsid w:val="00FB564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37C0D6"/>
  <w15:chartTrackingRefBased/>
  <w15:docId w15:val="{04441F8A-B87E-40DF-8ECD-B5FFF90A1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69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E86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7E38B7"/>
    <w:pPr>
      <w:ind w:left="720"/>
      <w:contextualSpacing/>
    </w:pPr>
  </w:style>
  <w:style w:type="paragraph" w:styleId="En-tte">
    <w:name w:val="header"/>
    <w:basedOn w:val="Normal"/>
    <w:link w:val="En-tteCar"/>
    <w:uiPriority w:val="99"/>
    <w:unhideWhenUsed/>
    <w:rsid w:val="00E4451B"/>
    <w:pPr>
      <w:tabs>
        <w:tab w:val="center" w:pos="4680"/>
        <w:tab w:val="right" w:pos="9360"/>
      </w:tabs>
      <w:spacing w:after="0" w:line="240" w:lineRule="auto"/>
    </w:pPr>
  </w:style>
  <w:style w:type="character" w:customStyle="1" w:styleId="En-tteCar">
    <w:name w:val="En-tête Car"/>
    <w:basedOn w:val="Policepardfaut"/>
    <w:link w:val="En-tte"/>
    <w:uiPriority w:val="99"/>
    <w:rsid w:val="00E4451B"/>
  </w:style>
  <w:style w:type="paragraph" w:styleId="Pieddepage">
    <w:name w:val="footer"/>
    <w:basedOn w:val="Normal"/>
    <w:link w:val="PieddepageCar"/>
    <w:uiPriority w:val="99"/>
    <w:unhideWhenUsed/>
    <w:rsid w:val="00E4451B"/>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E445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844</Words>
  <Characters>4811</Characters>
  <Application>Microsoft Office Word</Application>
  <DocSecurity>0</DocSecurity>
  <Lines>40</Lines>
  <Paragraphs>11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Gordon Davies</dc:creator>
  <cp:keywords/>
  <dc:description/>
  <cp:lastModifiedBy>Gordon Davies</cp:lastModifiedBy>
  <cp:revision>5</cp:revision>
  <dcterms:created xsi:type="dcterms:W3CDTF">2023-10-12T14:56:00Z</dcterms:created>
  <dcterms:modified xsi:type="dcterms:W3CDTF">2023-11-09T17:27:00Z</dcterms:modified>
</cp:coreProperties>
</file>